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720"/>
        <w:jc w:val="center"/>
      </w:pPr>
      <w:r>
        <w:rPr>
          <w:rFonts w:ascii="Times New Roman" w:hAnsi="Times New Roman" w:eastAsia="宋体" w:cs="Times New Roman"/>
          <w:b/>
          <w:sz w:val="44"/>
        </w:rPr>
        <w:t>2026年AI+稀土追溯模型关键技术及应用研究(隐私计算)联合研发项目</w:t>
      </w:r>
    </w:p>
    <w:p>
      <w:pPr>
        <w:spacing w:before="0" w:after="3000"/>
        <w:jc w:val="center"/>
      </w:pPr>
      <w:r>
        <w:rPr>
          <w:rFonts w:ascii="Times New Roman" w:hAnsi="Times New Roman" w:eastAsia="宋体" w:cs="Times New Roman"/>
          <w:b/>
          <w:sz w:val="36"/>
        </w:rPr>
        <w:t>隐私计算联邦学习软件原型测试报告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版本：V1.2.0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日期：2026 年 10 月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编制单位：复旦大学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宋体" w:cs="Times New Roman"/>
          <w:b/>
          <w:sz w:val="32"/>
        </w:rPr>
        <w:t>目　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</w:rPr>
        <w:t>请在此处单击右键，选择“更新域”，生成目录。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>1 概述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本次测试验证隐私计算联邦学习软件原型（V1.2.0）能否满足项目合同《成果形式及验收要求》（附件 1）中隐私计算功能清单 16 项、技术参数指标 3 项的要求，并按甲方《自研功能清单 V5》对 60 个三级功能逐项核对；合同中有、V5 中未单列的 12 项能力作为合同补充项一并测试，共 72 项。</w:t>
      </w:r>
    </w:p>
    <w:p>
      <w:pPr>
        <w:pStyle w:val="Heading2"/>
      </w:pPr>
      <w:r>
        <w:t>1.1 测试依据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《2026年AI+稀土追溯模型关键技术及应用研究(隐私计算)联合研发项目成果形式及验收要求》（附件 1）。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《自研功能清单 V5》（甲方工程化拆解，60 个三级功能）。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《隐私计算联邦学习软件原型设计文档 V1.0》。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《隐私计算平台控制台后端接口文档 v1.2》（API.md）。</w:t>
      </w:r>
    </w:p>
    <w:p>
      <w:pPr>
        <w:pStyle w:val="Heading1"/>
      </w:pPr>
      <w:r>
        <w:t>2 测试对象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2-1 测试对象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343"/>
        <w:gridCol w:w="2603"/>
        <w:gridCol w:w="1134"/>
        <w:gridCol w:w="1761"/>
        <w:gridCol w:w="890"/>
      </w:tblGrid>
      <w:tr>
        <w:trPr>
          <w:cantSplit/>
          <w:tblHeader/>
        </w:trPr>
        <w:tc>
          <w:tcPr>
            <w:tcW w:type="dxa" w:w="234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测试对象</w:t>
            </w:r>
          </w:p>
        </w:tc>
        <w:tc>
          <w:tcPr>
            <w:tcW w:type="dxa" w:w="260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组成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软件版本</w:t>
            </w:r>
          </w:p>
        </w:tc>
        <w:tc>
          <w:tcPr>
            <w:tcW w:type="dxa" w:w="176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运行环境</w:t>
            </w:r>
          </w:p>
        </w:tc>
        <w:tc>
          <w:tcPr>
            <w:tcW w:type="dxa" w:w="890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数量</w:t>
            </w:r>
          </w:p>
        </w:tc>
      </w:tr>
      <w:tr>
        <w:trPr>
          <w:cantSplit/>
        </w:trPr>
        <w:tc>
          <w:tcPr>
            <w:tcW w:type="dxa" w:w="234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26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前端控制台（联邦学习、同态加密、多方安全计算、隐私求交、差分隐私五个模块，14 个二级功能页面）；与后端接口契约一致的内置服务（mock）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V1.2.0</w:t>
            </w:r>
          </w:p>
        </w:tc>
        <w:tc>
          <w:tcPr>
            <w:tcW w:type="dxa" w:w="176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Chrome 148 / Edge 等现代浏览器；Node.js 22（自动化测试）</w:t>
            </w:r>
          </w:p>
        </w:tc>
        <w:tc>
          <w:tcPr>
            <w:tcW w:type="dxa" w:w="89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</w:tr>
    </w:tbl>
    <w:p>
      <w:pPr>
        <w:spacing w:line="240" w:lineRule="auto" w:after="80"/>
      </w:pPr>
    </w:p>
    <w:p>
      <w:pPr>
        <w:pStyle w:val="Heading1"/>
      </w:pPr>
      <w:r>
        <w:t>3 测试环境</w:t>
      </w:r>
    </w:p>
    <w:p>
      <w:pPr>
        <w:pStyle w:val="Heading2"/>
      </w:pPr>
      <w:r>
        <w:t>3.1 技术参数指标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3-1 合同功能清单与技术参数指标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31"/>
        <w:gridCol w:w="1835"/>
        <w:gridCol w:w="2714"/>
        <w:gridCol w:w="3151"/>
      </w:tblGrid>
      <w:tr>
        <w:trPr>
          <w:cantSplit/>
          <w:tblHeader/>
        </w:trPr>
        <w:tc>
          <w:tcPr>
            <w:tcW w:type="dxa" w:w="103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83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一级模块</w:t>
            </w:r>
          </w:p>
        </w:tc>
        <w:tc>
          <w:tcPr>
            <w:tcW w:type="dxa" w:w="2714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二级模块</w:t>
            </w:r>
          </w:p>
        </w:tc>
        <w:tc>
          <w:tcPr>
            <w:tcW w:type="dxa" w:w="315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技术参数指标（合同原文）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C-01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多方异构联邦协同调度技术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研究基于多参与方数据隔离的异构联邦协同调度技术，实现基准模型版本、聚合轮数与全局训练目标的自适应管理。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C-02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联邦学习基础算法体系构建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研究面向复杂业务场景的联邦学习算法体系，构建包含逻辑回归、XGBoost、深度神经网络等在内的分布式模型库。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C-03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联邦任务全生命周期智能管控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研究分布式训练过程中的状态流转与容错机制，实现对执行任务的干预与管控（如启动、暂停、恢复、强制终止）。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C-04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模型收敛性动态追踪与预测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研究分布式节点梯度更新的收敛演化规律，实现损失值与准确率的动态追踪及剩余训练时间的精准预估，增强模型训练过程的可解释性与可控性。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C-05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梯度安全聚合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研究基于秘密共享的轻量化聚合与同态加密的高安全聚合策略，实现多方权重的安全高效融合。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C-06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梯度稀疏化技术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研究梯度稀疏化技术，动态裁剪冗余梯度信息，大幅降低节点与服务端的通信带宽占用，提升联邦训练效率。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C-07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强隐私保障的噪声注入技术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研究基于高斯机制与拉普拉斯机制的敏感数据扰动理论，实现针对不同数据分布特征的自适应噪声注入。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C-08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差分隐私策略动态编排技术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研究面向多维数据分析的差分隐私组合定理，实现隐私保护强度的灵活编排与下发。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C-09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隐私预算量化评估与动态追踪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研究差分隐私预算的消耗模型与量化评估方法，实现全局隐私预算的动态追踪与效用-隐私平衡分析。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C-10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联邦差分隐私端到端融合技术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研究差分隐私算法与联邦学习底层架构的深度耦合机制，构建端到端标准化工作流，实现隐私保护策略与分布式训练任务的集成。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C-11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多模式同态加密算法融合体系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研究半同态（Paillier）与全同态（CKKS）等多模式加密算法的底层代数结构，构建支持整型与浮点型复杂运算的同态加密底层算法库。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C-12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密态数据编码与精度保持技术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研究同态加密环境下的明密文映射原理与缩放因子管理机制，开发底层数据编码，实现整型与浮点型数据在密态运算下的自适应对齐。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C-13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密态计算参数智能寻优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研究同态加密核心参数（如多项式阶数、模数链）对计算性能与安全强度的影响，实现算法参数的智能寻优与动态适配，提升密文运算效率。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C-14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“端-云”协同密态联邦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研究“加密-计算-解密”全链路的联邦学习深度集成架构，实现端到端密态计算流程的自动化编排。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C-15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高效多协议隐私求交技术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研究基于ECDH、OT（如KKRT协议）及非平衡PSI等多种底层密码学协议的集合求交技术，实现满足128位计算安全强度的大规模数据集高效求交。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C-16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求交协议自适应路由与调优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研究不同数据量级与网络带宽下的PSI协议性能边界，实现求交协议的参数动态调优。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T-01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联邦学习建模梯度重构攻击成功率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稀土氧化物（Nd₂O₃、CeO₂、La₂O₃）历史价格时序数据集，单服务端 + 三客户端联邦架构；DLG、iDLG 梯度重构攻击成功率 ≤5%；相对 FedAvg 单轮平均通信压缩比 ≥6。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T-02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联邦学习训练性能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同等模型架构与参数下，相对集中式明文训练基线，CNN + MNIST / CIFAR-10 场景 Accuracy 下降幅度 ≤3%。</w:t>
            </w:r>
          </w:p>
        </w:tc>
      </w:tr>
      <w:tr>
        <w:trPr>
          <w:cantSplit/>
        </w:trPr>
        <w:tc>
          <w:tcPr>
            <w:tcW w:type="dxa" w:w="10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T-03</w:t>
            </w:r>
          </w:p>
        </w:tc>
        <w:tc>
          <w:tcPr>
            <w:tcW w:type="dxa" w:w="183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27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315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套隐私计算联邦学习软件原型，实现隐私求交、同态加密、差分隐私、联邦学习。</w:t>
            </w:r>
          </w:p>
        </w:tc>
      </w:tr>
    </w:tbl>
    <w:p>
      <w:pPr>
        <w:spacing w:line="240" w:lineRule="auto" w:after="80"/>
      </w:pPr>
    </w:p>
    <w:p>
      <w:pPr>
        <w:pStyle w:val="Heading2"/>
      </w:pPr>
      <w:r>
        <w:t>3.2 测试仪表和工具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3-2 测试工具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785"/>
        <w:gridCol w:w="1594"/>
        <w:gridCol w:w="2065"/>
        <w:gridCol w:w="1131"/>
        <w:gridCol w:w="2371"/>
        <w:gridCol w:w="785"/>
      </w:tblGrid>
      <w:tr>
        <w:trPr>
          <w:cantSplit/>
          <w:tblHeader/>
        </w:trPr>
        <w:tc>
          <w:tcPr>
            <w:tcW w:type="dxa" w:w="78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594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名称</w:t>
            </w:r>
          </w:p>
        </w:tc>
        <w:tc>
          <w:tcPr>
            <w:tcW w:type="dxa" w:w="206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用途</w:t>
            </w:r>
          </w:p>
        </w:tc>
        <w:tc>
          <w:tcPr>
            <w:tcW w:type="dxa" w:w="113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硬件配置</w:t>
            </w:r>
          </w:p>
        </w:tc>
        <w:tc>
          <w:tcPr>
            <w:tcW w:type="dxa" w:w="237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软件配置</w:t>
            </w:r>
          </w:p>
        </w:tc>
        <w:tc>
          <w:tcPr>
            <w:tcW w:type="dxa" w:w="78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数量</w:t>
            </w:r>
          </w:p>
        </w:tc>
      </w:tr>
      <w:tr>
        <w:trPr>
          <w:cantSplit/>
        </w:trPr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  <w:tc>
          <w:tcPr>
            <w:tcW w:type="dxa" w:w="159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测试服务器</w:t>
            </w:r>
          </w:p>
        </w:tc>
        <w:tc>
          <w:tcPr>
            <w:tcW w:type="dxa" w:w="206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运行自动化测试与浏览器验收</w:t>
            </w:r>
          </w:p>
        </w:tc>
        <w:tc>
          <w:tcPr>
            <w:tcW w:type="dxa" w:w="11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x86_64，Linux 5.15</w:t>
            </w:r>
          </w:p>
        </w:tc>
        <w:tc>
          <w:tcPr>
            <w:tcW w:type="dxa" w:w="23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Node.js v22.22.0（node:test 测试框架）</w:t>
            </w:r>
          </w:p>
        </w:tc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type="dxa" w:w="159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浏览器验收工具</w:t>
            </w:r>
          </w:p>
        </w:tc>
        <w:tc>
          <w:tcPr>
            <w:tcW w:type="dxa" w:w="206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按操作步骤逐项点击验证并截图</w:t>
            </w:r>
          </w:p>
        </w:tc>
        <w:tc>
          <w:tcPr>
            <w:tcW w:type="dxa" w:w="11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同上</w:t>
            </w:r>
          </w:p>
        </w:tc>
        <w:tc>
          <w:tcPr>
            <w:tcW w:type="dxa" w:w="23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Chrome 148（无头模式）+ agent-browser，视口 1440 × 900</w:t>
            </w:r>
          </w:p>
        </w:tc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type="dxa" w:w="159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演示环境</w:t>
            </w:r>
          </w:p>
        </w:tc>
        <w:tc>
          <w:tcPr>
            <w:tcW w:type="dxa" w:w="206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公网访问控制台</w:t>
            </w:r>
          </w:p>
        </w:tc>
        <w:tc>
          <w:tcPr>
            <w:tcW w:type="dxa" w:w="113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云服务器（nginx 静态服务）</w:t>
            </w:r>
          </w:p>
        </w:tc>
        <w:tc>
          <w:tcPr>
            <w:tcW w:type="dxa" w:w="23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https://share.drluo.cn/share/privacy-console-1014-08675d/</w:t>
            </w:r>
          </w:p>
        </w:tc>
        <w:tc>
          <w:tcPr>
            <w:tcW w:type="dxa" w:w="7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</w:tr>
    </w:tbl>
    <w:p>
      <w:pPr>
        <w:spacing w:line="240" w:lineRule="auto" w:after="80"/>
      </w:pPr>
    </w:p>
    <w:p>
      <w:pPr>
        <w:pStyle w:val="Heading1"/>
      </w:pPr>
      <w:r>
        <w:t>4 测试安排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4-1 测试时间和人员安排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44"/>
        <w:gridCol w:w="1372"/>
        <w:gridCol w:w="5715"/>
      </w:tblGrid>
      <w:tr>
        <w:trPr>
          <w:cantSplit/>
          <w:tblHeader/>
        </w:trPr>
        <w:tc>
          <w:tcPr>
            <w:tcW w:type="dxa" w:w="1644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测试时间</w:t>
            </w:r>
          </w:p>
        </w:tc>
        <w:tc>
          <w:tcPr>
            <w:tcW w:type="dxa" w:w="1372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测试地点</w:t>
            </w:r>
          </w:p>
        </w:tc>
        <w:tc>
          <w:tcPr>
            <w:tcW w:type="dxa" w:w="571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主要测试内容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2026.10.24</w:t>
            </w:r>
          </w:p>
        </w:tc>
        <w:tc>
          <w:tcPr>
            <w:tcW w:type="dxa" w:w="137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复旦大学</w:t>
            </w:r>
          </w:p>
        </w:tc>
        <w:tc>
          <w:tcPr>
            <w:tcW w:type="dxa" w:w="571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72 个三级功能自动化测试与浏览器操作验收；合同 16 项功能与 3 项技术参数指标对照</w:t>
            </w:r>
          </w:p>
        </w:tc>
      </w:tr>
    </w:tbl>
    <w:p>
      <w:pPr>
        <w:spacing w:line="240" w:lineRule="auto" w:after="80"/>
      </w:pPr>
    </w:p>
    <w:p>
      <w:pPr>
        <w:pStyle w:val="Heading1"/>
      </w:pPr>
      <w:r>
        <w:t>5 测试内容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每个三级功能同时做两类测试：（1）自动化测试：调用接口验证正常流程和至少一个异常流程（参数越界、非法状态、重复提交等），测试用例名以功能编号开头；（2）浏览器操作验收：按操作手册步骤在页面上实际操作，核对预期结果并截图留证。两类测试都通过，该项判定为通过。</w:t>
      </w:r>
    </w:p>
    <w:p>
      <w:pPr>
        <w:pStyle w:val="Heading2"/>
      </w:pPr>
      <w:r>
        <w:t>5.1 功能性指标完成情况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5-1 合同条目完成情况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680"/>
        <w:gridCol w:w="1753"/>
        <w:gridCol w:w="1185"/>
        <w:gridCol w:w="1753"/>
        <w:gridCol w:w="1607"/>
        <w:gridCol w:w="1753"/>
      </w:tblGrid>
      <w:tr>
        <w:trPr>
          <w:cantSplit/>
          <w:tblHeader/>
        </w:trPr>
        <w:tc>
          <w:tcPr>
            <w:tcW w:type="dxa" w:w="680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75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系统名称</w:t>
            </w:r>
          </w:p>
        </w:tc>
        <w:tc>
          <w:tcPr>
            <w:tcW w:type="dxa" w:w="118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功能模块</w:t>
            </w:r>
          </w:p>
        </w:tc>
        <w:tc>
          <w:tcPr>
            <w:tcW w:type="dxa" w:w="175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二级模块（技术参数指标见表 3-1）</w:t>
            </w:r>
          </w:p>
        </w:tc>
        <w:tc>
          <w:tcPr>
            <w:tcW w:type="dxa" w:w="1607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对应三级功能</w:t>
            </w:r>
          </w:p>
        </w:tc>
        <w:tc>
          <w:tcPr>
            <w:tcW w:type="dxa" w:w="175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完成情况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C-01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多方异构联邦协同调度技术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FL-ORCH-01、FL-ORCH-02、FL-ORCH-03、FL-ORCH-04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联邦学习基础算法体系构建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FL-ORCH-05、FL-ORCH-06、FL-ORCH-07、FL-ORCH-08、FL-ORCH-09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联邦任务全生命周期智能管控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FL-PROC-01、FL-PROC-02、FL-PROC-03、FL-PROC-04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模型收敛性动态追踪与预测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FL-PROC-05、FL-PROC-06、FL-PROC-07、FL-PROC-08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C-05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梯度安全聚合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FL-AGG-01、FL-AGG-02、FL-AGG-03、FL-AGG-04、FL-AGG-05、FL-AGG-06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C-06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梯度稀疏化技术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FL-AGG-07、FL-EVAL-02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C-07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强隐私保障的噪声注入技术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DP-MECH-01、DP-MECH-02、DP-MECH-03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C-08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差分隐私策略动态编排技术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C-09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隐私预算量化评估与动态追踪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DP-EVAL-01、DP-EVAL-02、DP-EVAL-03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C-10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差分隐私（DP）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联邦差分隐私端到端融合技术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DP-FW-01、DP-FW-02、DP-FW-03、DP-FW-04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C-11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多模式同态加密算法融合体系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HE-ALGO-01、HE-ALGO-02、HE-ALGO-03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密态数据编码与精度保持技术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HE-ALGO-04、HE-ALGO-05、HE-ALGO-06、HE-ALGO-07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密态计算参数智能寻优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HE-ALGO-08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“端-云”协同密态联邦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HE-APP-01、HE-APP-02、HE-APP-03、HE-APP-04、HE-APP-05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C-15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高效多协议隐私求交技术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PSI-DATA-01、PSI-DATA-02、PSI-DATA-03、PSI-ALGO-01、PSI-PIPE-01、PSI-PIPE-02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C-16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求交协议自适应路由与调优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PSI-ALGO-02、PSI-ALGO-03、PSI-ALGO-04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T-01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联邦学习建模梯度重构攻击成功率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FL-EVAL-01、FL-EVAL-02、FL-AGG-07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已完成（指标数值为原型内置评估引擎仿真结果）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联邦学习训练性能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已完成（指标数值为原型内置评估引擎仿真结果）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T-03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1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技术参数指标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隐私计算联邦学习软件原型</w:t>
            </w:r>
          </w:p>
        </w:tc>
        <w:tc>
          <w:tcPr>
            <w:tcW w:type="dxa" w:w="160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FL-PROC-02、HE-APP-01、PSI-PIPE-01、DP-FW-02</w:t>
            </w:r>
          </w:p>
        </w:tc>
        <w:tc>
          <w:tcPr>
            <w:tcW w:type="dxa" w:w="175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已完成</w:t>
            </w:r>
          </w:p>
        </w:tc>
      </w:tr>
    </w:tbl>
    <w:p>
      <w:pPr>
        <w:spacing w:line="240" w:lineRule="auto" w:after="80"/>
      </w:pPr>
    </w:p>
    <w:p>
      <w:pPr>
        <w:pStyle w:val="Heading2"/>
      </w:pPr>
      <w:r>
        <w:t>5.2 三级功能测试明细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表 5-2 三级功能测试结果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77"/>
        <w:gridCol w:w="1069"/>
        <w:gridCol w:w="1069"/>
        <w:gridCol w:w="1608"/>
        <w:gridCol w:w="795"/>
        <w:gridCol w:w="1211"/>
        <w:gridCol w:w="1221"/>
        <w:gridCol w:w="680"/>
      </w:tblGrid>
      <w:tr>
        <w:trPr>
          <w:cantSplit/>
          <w:tblHeader/>
        </w:trPr>
        <w:tc>
          <w:tcPr>
            <w:tcW w:type="dxa" w:w="1077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069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一级功能</w:t>
            </w:r>
          </w:p>
        </w:tc>
        <w:tc>
          <w:tcPr>
            <w:tcW w:type="dxa" w:w="1069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二级功能</w:t>
            </w:r>
          </w:p>
        </w:tc>
        <w:tc>
          <w:tcPr>
            <w:tcW w:type="dxa" w:w="1608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三级功能</w:t>
            </w:r>
          </w:p>
        </w:tc>
        <w:tc>
          <w:tcPr>
            <w:tcW w:type="dxa" w:w="795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来源</w:t>
            </w:r>
          </w:p>
        </w:tc>
        <w:tc>
          <w:tcPr>
            <w:tcW w:type="dxa" w:w="121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自动化测试（通过 / 用例数）</w:t>
            </w:r>
          </w:p>
        </w:tc>
        <w:tc>
          <w:tcPr>
            <w:tcW w:type="dxa" w:w="1221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浏览器操作验收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项目创建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 / 3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节点管理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数据隔离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内置算法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FL-ORCH-06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算法注册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FL-ORCH-07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自定义模型上传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FL-ORCH-08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模型版本管理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FL-ORCH-09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任务编排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算法参数模板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可视化任务状态机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任务启动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任务暂停与恢复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任务强制终止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数据存储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FL-PROC-06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绘制动态曲线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FL-PROC-07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预估剩余时间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FL-PROC-08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过程管控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查询与导出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一键聚合策略配置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秘密共享聚合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同态加密聚合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密钥对生成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5 / 5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FL-AGG-06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参数配置保存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FL-AGG-07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聚合与安全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梯度稀疏化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技术指标验证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梯度重构攻击评估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技术指标验证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通信压缩比评估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技术指标验证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联邦训练精度衰减评估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半同态加密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全同态加密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加密算法配置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整型数据同态加密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浮点型数据同态加密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HE-ALGO-06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数据类型自动转换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HE-ALGO-07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浮点数转换精度设置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HE-ALGO-08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密态计算参数智能寻优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应用集成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可视化配置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应用集成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联邦学习一键配置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应用集成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密钥管理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5 / 5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应用集成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流程测试模拟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应用集成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日志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 / 4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秘密共享协议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混淆电路协议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不经意传输协议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安全多方基础算子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3方计算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MPC-PROTO-06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参数默认配置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MPC-PROTO-07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协议管理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性能预估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运维监控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通信量监控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运维监控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计算耗时监控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运维监控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轮次交互数监控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运维监控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异常节点检测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MPC-OPS-05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多方安全计算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运维监控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历史MPC任务查询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数据接入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数据集登记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数据接入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字段与脱敏预览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数据接入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数据集状态与删除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算法配置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多种PSI协议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算法配置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PSI参数调优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算法配置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PSI配置模板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算法配置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求交协议自适应路由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平台集成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一键启动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隐私求交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平台集成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进度跟踪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 / 3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隐私机制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差分隐私机制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隐私机制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参数配置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隐私机制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自适应噪声注入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 / 3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隐私机制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差分隐私策略动态编排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效果评估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效果展示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 / 3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效果评估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效用曲线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效果评估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历史记录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DP-FW-01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框架集成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隐语集成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DP-FW-02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框架集成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DP初始化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2 / 2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DP-FW-03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框架集成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DP指标查看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清单 V5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DP-FW-04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差分隐私</w:t>
            </w:r>
          </w:p>
        </w:tc>
        <w:tc>
          <w:tcPr>
            <w:tcW w:type="dxa" w:w="106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框架集成</w:t>
            </w:r>
          </w:p>
        </w:tc>
        <w:tc>
          <w:tcPr>
            <w:tcW w:type="dxa" w:w="160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联邦差分隐私端到端工作流</w:t>
            </w:r>
          </w:p>
        </w:tc>
        <w:tc>
          <w:tcPr>
            <w:tcW w:type="dxa" w:w="79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合同补充</w:t>
            </w:r>
          </w:p>
        </w:tc>
        <w:tc>
          <w:tcPr>
            <w:tcW w:type="dxa" w:w="121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1 / 1</w:t>
            </w:r>
          </w:p>
        </w:tc>
        <w:tc>
          <w:tcPr>
            <w:tcW w:type="dxa" w:w="122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  <w:tc>
          <w:tcPr>
            <w:tcW w:type="dxa" w:w="680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</w:tbl>
    <w:p>
      <w:pPr>
        <w:spacing w:line="240" w:lineRule="auto" w:after="80"/>
      </w:pPr>
    </w:p>
    <w:p>
      <w:pPr>
        <w:pStyle w:val="Heading2"/>
      </w:pPr>
      <w:r>
        <w:t>5.3 测试用例清单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自动化测试用例共 106 个（最近一次运行：2026-10-24 01:03 SGT，失败 0 个）。按功能编号列出如下。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737"/>
        <w:gridCol w:w="1077"/>
      </w:tblGrid>
      <w:tr>
        <w:trPr>
          <w:cantSplit/>
          <w:tblHeader/>
        </w:trPr>
        <w:tc>
          <w:tcPr>
            <w:tcW w:type="dxa" w:w="1916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5737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测试用例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项目创建：必填 / 越界 / 重名 / 版本校验，创建后出现在列表并带空节点表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新建任务默认聚合策略取聚合与安全页的项目配置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新建项目可选导入演示数据：节点、数据集、示例任务按内核原逻辑播种，参数非布尔被拒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节点管理：添加校验 IP / 端口 / 重复 ID / 连通性，编辑与删除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数据隔离：访问矩阵只放行本节点，越权读取被拒并记日志，传输内容只含梯度与参数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项目配置：详情、修改持久化（revision 递增）、导出 JSON；非法修改被拒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新建任务默认聚合策略取聚合与安全页的项目配置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内置算法：五个基类，统一 fit / predict / evaluate 接口，按任务类型过滤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算法注册：JSON Schema 子集校验，注册后可用于新建训练任务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任务列表 / 详情 / 动作返回注册算法与自定义模型的真实名称和版本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自定义模型上传：结构校验给出层数 / 参数量 / 输入形状，损坏或空文件校验失败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任务列表 / 详情 / 动作返回注册算法与自定义模型的真实名称和版本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FL-ORCH-08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模型版本管理：重复上传生成新版本，回滚记录操作人与时间，新任务使用回滚后的版本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FL-ORCH-09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算法参数模板：预置模板、另存自定义模板（schema 校验 / 重名）、删除限制、任务按模板参数创建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任务状态机：六种状态可达，迁移记录完整，非法迁移返回 40901 与可执行动作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任务启动：校验项目配置、节点可用性、算法兼容性，通过后为每个节点分配训练容器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暂停与恢复：暂停时保存当前轮次断点，恢复后从断点继续，轮次不重复不丢失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强制终止：停止训练、容器 SIGKILL 并释放资源，状态迁移到 Terminated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强制终止的确认文案依据：终止丢弃进行中轮次，已完成轮次与断点保留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数据存储：每轮聚合后存储全局与各节点的 Loss / Accuracy（时序为 RMSE / MAE）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动态曲线：全局 / 各节点切换，横轴轮次可按区间截取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预估剩余时间：按每轮耗时做指数平滑（EMA，α = 0.3），列表 / 详情与 ETA 接口一致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训练推送的剩余时间与已用时间取 EMA 平滑结果，与 ETA 接口一致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FL-PROC-08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历史指标查询：按项目 ID / 任务 ID / 时间范围过滤，导出 CSV 列与行数正确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FL-PROC-08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单任务 CSV 导出按 start_time / end_time 过滤，列与内核一致，非法时间报错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一键聚合策略配置：未保存时给出默认 + 两种策略的推荐配置，推荐门限取多数派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秘密共享参数：保存 + 越界校验（门限 / 掉线容忍 / 有限域 / 轮换周期）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同态加密参数：Paillier / CKKS 可编辑；打包超明文空间、系数模数超安全上限被拒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密钥对生成：无在用密钥时查看公钥 40402；生成后公钥可查看、私钥只给 key_id；再生成则旧钥轮换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项目生成密钥后，过程管控页任务公钥（/fl/jobs/{id}/he-public-key）与项目密钥一致；未生成时回落内核逻辑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项目聚合密钥与同态加密模块共用一套（he.md H.7.7）：只写 heKeys，播种的旧钥被轮换；同态页轮换 / 销毁后本页与任务详情同步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同态页已有在用的聚合密钥时直接作为项目密钥（未在本页生成过）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同态页新建的 CKKS 聚合密钥（仅有 key_params）被识别为项目密钥，N / log₂Q 取自 key_params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参数重置：恢复默认策略并落库，密钥保留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参数配置保存：项目聚合配置结构固定，项目间隔离；非法配置不落库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FL-AGG-07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梯度稀疏化：按公式估算每轮上传量与压缩比；比例越界被拒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梯度重构攻击：本算法 DLG / iDLG 0 / 200，明文 FedAvg 80%–90%，结果确定可复现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通信压缩比：逐轮通信量 + 平均压缩比 7–9，含 RMSE / MAE 对比；保留比例过大则未达标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FL-EVAL-03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精度衰减：MNIST 0.5–1.0、CIFAR-10 1.5–2.5 个百分点；轮次过少时未达标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半同态 Paillier：目录给出整数加、数乘；整数精确加与数乘，不支持密文乘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全同态 CKKS / BGV：CKKS 浮点乘为近似（误差非 0 且 &lt; 1e-4），BGV 整数乘精确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同一 CKKS 参数下运算验证、四步流程、参数寻优的单条密文大小一致（2 × N × L × 8 字节）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加密算法配置：库 × 方案矩阵；合法组合保存为项目默认，不支持的组合 40001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整型数据：BGV / TFHE 加乘精确还原；超出明文空间 40003，非数值 40002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浮点型数据：CKKS 加法误差 &lt; 乘法误差；Paillier 浮点自动定点化后误差受精度约束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数据类型自动转换：整数方案输入浮点 → 定点整数，给出缩放因子、编码整数、还原值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浮点转换精度：0–8 位逐档误差单调不增，BGV 高精度触发溢出提示；越界 40003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HE-ALGO-08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参数智能寻优：按安全标准表选最小 N，给出模数链、Δ、性能估计与候选对比；不可行 40003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HE-ALGO-08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同一 CKKS 参数下运算验证、四步流程、参数寻优的单条密文大小一致（2 × N × L × 8 字节）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可视化配置：密钥 → 加密 → 密态运算 → 解密 四步走通；密钥销毁后加密 40402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四步流程解密后真正写入性能日志（来源「全流程配置」），汇总与日志一致；未解密不记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联邦学习一键配置：Created 任务启用 he 后可查公钥；运行中任务 40901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密钥管理：播种在用 + 已轮换；生成、分发、轮换、销毁与自动轮换策略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密钥状态约束加密：已轮换 40901、已销毁 40402，新钥可加密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外部模块写入 db.heKeys 的聚合密钥：列表兜底显示，可轮换，外部标记已轮换后拒绝加密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外部 CKKS 聚合密钥：轮换整体继承 key_params，外部写入的 rotated_to 同步到列表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一个项目只保留一把在用的联邦聚合密钥：新建时其余在用的（含外部写入、不同方案）标记为被替代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流程测试模拟：3 方 × 10 000 维模拟梯度 加密→聚合→解密 通过；精度不足判失败；参数校验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日志：模拟与同态聚合训练的每环节耗时与密文大小，可按来源 / 任务筛选并导出 CSV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四步流程解密后真正写入性能日志（来源「全流程配置」），汇总与日志一致；未解密不记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同态训练任务每轮 加密 + 聚合 + 解密 墙钟耗时小于每轮训练时长（含参数量最大的 LSTM）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HE-APP-05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日志按任务实际绑定的公钥位数与 Top-k 稀疏化计算：3072 bit → 单条 0.75 KB，关闭稀疏化后条数回到全量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秘密共享协议：目录含原理 / 安全模型 / 求积求均值算子，试运行份额可还原、不含明文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混淆电路协议：安全比较（百万富翁）+ 逻辑运算，Free-XOR / 半门影响通信量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不经意传输扩展：向量 OT 取第 i 行，轮数随扩展批大小变化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基础算子组合：求和 → 求均值 → 阈值比较，结果仅输出方可见；兼容性 / 类型校验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3 方计算：≥3 方、角色可动态配置，缺角色 / 少于 3 方拒绝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MPC-PROTO-06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参数默认配置：默认值、自定义保存、恢复默认、范围校验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MPC-PROTO-07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性能预估：随参与方数 / 数据规模单调增长，给出公式与单位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实时监控：每方通信量、计算耗时、轮次交互数随执行递增；停止 / 继续 / 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实时监控：每方通信量、计算耗时、轮次交互数随执行递增；停止 / 继续 / 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实时监控：每方通信量、计算耗时、轮次交互数随执行递增；停止 / 继续 / 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异常节点检测：偏离均值超过 50% 告警并高亮；排除降级节点后无告警；阈值可配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历史任务：按协议 / 时间筛选、两任务对比、导出报表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MPC-OPS-05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任务编号日期按 UTC+8：UTC 17:30 创建的任务编号取次日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数据集登记：JDBC / HDFS / 文件上传三种来源，非法来源与重名被拒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文件来源行数：按前端解析的行数与表头登记；无解析值时按文件大小估算并标注；表头缺求交键被拒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字段与脱敏预览：求交键 / 时间列标注，样例只给哈希前缀与打码值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上传文件的脱敏样例取文件真实前几行；未解析的文件不给样例；样例行形状不对被拒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状态流转与删除保护：接入中→已就绪；被运行中流水线引用时 40901，结束后可删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PSI-DATA-03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删除数据集不改写已完成流水线：统计量与数据集名在完成后固化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三种 PSI 协议：ECDH-PSI / KKRT / 非平衡 PSI，均标注 128 位安全强度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参数调优：按协议给出参数类型与范围；类型 / 越界 / 未知参数被拒，合法参数保存为当前配置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配置模板：内置模板 + 保存 / 加载 / 删除；重名、非法参数、删内置被拒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PSI-ALGO-04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自适应路由：按规模与网络推荐协议，给出三协议耗时 / 通信量对比、理由与典型场景；非法输入被拒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交集不足时求交阶段失败：后两阶段跳过、不生成训练任务、给出原因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一键启动：用当前算法配置启动 安全求交→特征对齐→联合训练，完成后生成 FL 任务；非法两方被拒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删除数据集不改写已完成流水线：统计量与数据集名在完成后固化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交集不足时求交阶段失败：后两阶段跳过、不生成训练任务、给出原因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PSI-PIPE-02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进度跟踪：各阶段状态、进度、执行时长、数据量随 SSE 推进；取消后归零，不存在的流水线 40400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机制目录：高斯 (ε,δ)-DP 与拉普拉斯 ε-DP，含定义、噪声分布、适用场景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参数配置：ε / δ / C / 会计方式写入任务；越界与运行中被拒（40003 / 40002 / 40901）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自适应噪声：按字段分布选裁剪区间，重尾字段噪声显著下降；梯度自适应裁剪；非数值字段被拒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统计查询发布：只返回加噪结果，结果在裁剪区间内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启用自适应裁剪后仍以原固定 C 为对照；自适应不占优时如实给出噪声增加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组合定理：同一单步机制 T 步，RDP ≤ 高级组合 ≤ 基础组合，公式数值可复核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DP-MECH-04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策略编排：按权重分配总预算并下发到训练任务；运行中任务 40901，重名 40902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效果展示：预算按会计方式累计；basic 与内核数值一致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SSE round_completed 的 ε 与 DP 页同一会计方式；默认配置效用损失 ≤ 3 个百分点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时序任务按 metrics_spec 展示 RMSE / MAE（越低越好），平衡分析同口径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效用曲线 + 效用-隐私平衡：ε 增大效用单调不降，给出平衡点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时序任务按 metrics_spec 展示 RMSE / MAE（越低越好），平衡分析同口径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DP-EVAL-03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历史审计：每轮 ε 增量与噪声详情、查看全部、导出 CSV；快照不随后改配置变化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DP-FW-01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隐语集成：适配层接口映射、可替换实现、切换 provider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 初始化：启用 DP 的任务启动后 hook 链在聚合前逐轮调用；未启用时 DP 步骤跳过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DP-FW-02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SSE round_completed 的 ε 与 DP 页同一会计方式；默认配置效用损失 ≤ 3 个百分点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DP-FW-03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 指标：每轮裁剪比例、噪声 L2 范数、信噪比与噪声直方图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DP-FW-04</w:t>
            </w:r>
          </w:p>
        </w:tc>
        <w:tc>
          <w:tcPr>
            <w:tcW w:type="dxa" w:w="573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端到端工作流：配置 → 初始化检查 → 启动 → 预算记账；不可启动任务检查不通过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</w:tbl>
    <w:p>
      <w:pPr>
        <w:spacing w:line="240" w:lineRule="auto" w:after="80"/>
      </w:pPr>
    </w:p>
    <w:p>
      <w:pPr>
        <w:pStyle w:val="Heading2"/>
      </w:pPr>
      <w:r>
        <w:t>5.4 技术参数指标的评估口径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梯度重构攻击成功率（T-01）：在稀土氧化物（Nd₂O₃、CeO₂、La₂O₃）日度价格时序数据集、1 个服务端 + 3 个客户端架构下，截获客户端上传的梯度后运行 DLG、iDLG 攻击；还原样本与原始样本的均方误差（MSE）不超过 0.0025 记为还原成功，成功率 = 还原成功样本数 / 攻击样本数。合同要求不超过 5%。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通信压缩比（T-01）：压缩比 = FedAvg 单轮平均通信数据总量 / 本算法单轮平均通信数据总量，合同要求不低于 6。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联邦训练精度衰减（T-02）：同等模型结构与参数下，集中式明文训练 Accuracy 与联邦（含隐私保护）训练 Accuracy 之差，以百分点计，合同要求不超过 3。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上述三项在「联邦学习 / 技术指标验证」页面执行，当前数值来自原型内置评估引擎的仿真结果。</w:t>
      </w:r>
    </w:p>
    <w:p>
      <w:pPr>
        <w:pStyle w:val="Heading1"/>
      </w:pPr>
      <w:r>
        <w:t>6 测试结论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本次测试覆盖联邦学习、同态加密、多方安全计算、隐私求交、差分隐私五个模块的 72 个三级功能（自研功能清单 V5 60 项、合同补充 12 项），执行自动化测试用例 106 个、浏览器操作验收 72 项。测试通过 72 项，其中清单 V5 通过 60 / 60 项；合同功能清单与技术参数指标共 19 条，全部子项通过的 19 条。测试过程中共发现缺陷 40 个，修复与复测情况见缺陷清单。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具体操作流程详见附件《隐私计算联邦学习软件原型操作手册》。</w:t>
      </w:r>
    </w:p>
    <w:sectPr w:rsidR="00FC693F" w:rsidRPr="0006063C" w:rsidSect="00034616">
      <w:footerReference w:type="default" r:id="rId9"/>
      <w:pgSz w:w="11906" w:h="16838"/>
      <w:pgMar w:top="1417" w:right="158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18"/>
      </w:rPr>
      <w:fldChar w:fldCharType="begin"/>
    </w:r>
    <w:r>
      <w:rPr>
        <w:rFonts w:ascii="Times New Roman" w:hAnsi="Times New Roman" w:eastAsia="宋体" w:cs="Times New Roman"/>
        <w:sz w:val="18"/>
      </w:rPr>
      <w:instrText xml:space="preserve">PAGE</w:instrText>
    </w:r>
    <w:r>
      <w:rPr>
        <w:rFonts w:ascii="Times New Roman" w:hAnsi="Times New Roman" w:eastAsia="宋体" w:cs="Times New Roman"/>
        <w:sz w:val="18"/>
      </w:rP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rPr>
        <w:rFonts w:ascii="Times New Roman" w:hAnsi="Times New Roman" w:eastAsia="宋体" w:cs="Times New Roman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ind w:firstLine="0"/>
      <w:outlineLvl w:val="0"/>
    </w:pPr>
    <w:rPr>
      <w:rFonts w:ascii="Times New Roman" w:hAnsi="Times New Roman" w:eastAsia="宋体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宋体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2"/>
    </w:pPr>
    <w:rPr>
      <w:rFonts w:ascii="Times New Roman" w:hAnsi="Times New Roman" w:eastAsia="宋体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360" w:lineRule="auto"/>
      <w:ind w:firstLine="0"/>
      <w:outlineLvl w:val="3"/>
    </w:pPr>
    <w:rPr>
      <w:rFonts w:ascii="Times New Roman" w:hAnsi="Times New Roman" w:eastAsia="宋体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隐私计算联邦学习软件原型测试报告</dc:title>
  <dc:subject/>
  <dc:creator>复旦大学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