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A2B4A"/>
          <w:sz w:val="56"/>
          <w:szCs w:val="56"/>
        </w:rPr>
        <w:t xml:space="preserve">Portfolio Analyzer v3</w:t>
      </w:r>
    </w:p>
    <w:p>
      <w:pPr>
        <w:spacing w:after="0" w:before="120"/>
        <w:jc w:val="center"/>
      </w:pPr>
      <w:r>
        <w:rPr>
          <w:color w:val="2E75B6"/>
          <w:sz w:val="32"/>
          <w:szCs w:val="32"/>
        </w:rPr>
        <w:t xml:space="preserve">Metrics &amp; Indicators Reference Guide</w:t>
      </w:r>
    </w:p>
    <w:p>
      <w:pPr>
        <w:spacing w:after="0" w:before="240"/>
        <w:jc w:val="center"/>
      </w:pPr>
      <w:r>
        <w:rPr>
          <w:i/>
          <w:iCs/>
          <w:color w:val="555555"/>
          <w:sz w:val="22"/>
          <w:szCs w:val="22"/>
        </w:rPr>
        <w:t xml:space="preserve">Every formula, what it measures, and how to read it</w:t>
      </w:r>
    </w:p>
    <w:p>
      <w:pPr>
        <w:spacing w:after="0" w:before="1600"/>
        <w:jc w:val="center"/>
      </w:pPr>
      <w:r>
        <w:rPr>
          <w:color w:val="555555"/>
          <w:sz w:val="20"/>
          <w:szCs w:val="20"/>
        </w:rPr>
        <w:t xml:space="preserve">Covers price-based risk/return metrics, fundamental analysis,</w:t>
      </w:r>
    </w:p>
    <w:p>
      <w:pPr>
        <w:spacing w:after="0" w:before="40"/>
        <w:jc w:val="center"/>
      </w:pPr>
      <w:r>
        <w:rPr>
          <w:color w:val="555555"/>
          <w:sz w:val="20"/>
          <w:szCs w:val="20"/>
        </w:rPr>
        <w:t xml:space="preserve">portfolio combination scoring, and holding-timeline indicators</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Guide</w:t>
      </w:r>
    </w:p>
    <w:p>
      <w:pPr>
        <w:spacing w:after="120" w:before="0"/>
      </w:pPr>
      <w:r>
        <w:rPr>
          <w:sz w:val="21"/>
          <w:szCs w:val="21"/>
        </w:rPr>
        <w:t xml:space="preserve">This document catalogs every indicator computed by Portfolio Analyzer v3. The metrics fall into five families, each with its own section:</w:t>
      </w:r>
    </w:p>
    <w:p>
      <w:pPr>
        <w:pStyle w:val="ListParagraph"/>
        <w:numPr>
          <w:ilvl w:val="0"/>
          <w:numId w:val="2"/>
        </w:numPr>
        <w:spacing w:after="60"/>
      </w:pPr>
      <w:r>
        <w:rPr>
          <w:b/>
          <w:bCs/>
          <w:sz w:val="21"/>
          <w:szCs w:val="21"/>
        </w:rPr>
        <w:t xml:space="preserve">Return Metrics</w:t>
      </w:r>
      <w:r>
        <w:rPr>
          <w:sz w:val="21"/>
          <w:szCs w:val="21"/>
        </w:rPr>
        <w:t xml:space="preserve"> — how much the investment grew.</w:t>
      </w:r>
    </w:p>
    <w:p>
      <w:pPr>
        <w:pStyle w:val="ListParagraph"/>
        <w:numPr>
          <w:ilvl w:val="0"/>
          <w:numId w:val="2"/>
        </w:numPr>
        <w:spacing w:after="60"/>
      </w:pPr>
      <w:r>
        <w:rPr>
          <w:b/>
          <w:bCs/>
          <w:sz w:val="21"/>
          <w:szCs w:val="21"/>
        </w:rPr>
        <w:t xml:space="preserve">Risk Metrics</w:t>
      </w:r>
      <w:r>
        <w:rPr>
          <w:sz w:val="21"/>
          <w:szCs w:val="21"/>
        </w:rPr>
        <w:t xml:space="preserve"> — how much it moved and how badly it fell.</w:t>
      </w:r>
    </w:p>
    <w:p>
      <w:pPr>
        <w:pStyle w:val="ListParagraph"/>
        <w:numPr>
          <w:ilvl w:val="0"/>
          <w:numId w:val="2"/>
        </w:numPr>
        <w:spacing w:after="60"/>
      </w:pPr>
      <w:r>
        <w:rPr>
          <w:b/>
          <w:bCs/>
          <w:sz w:val="21"/>
          <w:szCs w:val="21"/>
        </w:rPr>
        <w:t xml:space="preserve">Risk-Adjusted Ratios</w:t>
      </w:r>
      <w:r>
        <w:rPr>
          <w:sz w:val="21"/>
          <w:szCs w:val="21"/>
        </w:rPr>
        <w:t xml:space="preserve"> — return earned per unit of risk taken.</w:t>
      </w:r>
    </w:p>
    <w:p>
      <w:pPr>
        <w:pStyle w:val="ListParagraph"/>
        <w:numPr>
          <w:ilvl w:val="0"/>
          <w:numId w:val="2"/>
        </w:numPr>
        <w:spacing w:after="60"/>
      </w:pPr>
      <w:r>
        <w:rPr>
          <w:b/>
          <w:bCs/>
          <w:sz w:val="21"/>
          <w:szCs w:val="21"/>
        </w:rPr>
        <w:t xml:space="preserve">Factor Metrics</w:t>
      </w:r>
      <w:r>
        <w:rPr>
          <w:sz w:val="21"/>
          <w:szCs w:val="21"/>
        </w:rPr>
        <w:t xml:space="preserve"> — behavior relative to the market benchmark.</w:t>
      </w:r>
    </w:p>
    <w:p>
      <w:pPr>
        <w:pStyle w:val="ListParagraph"/>
        <w:numPr>
          <w:ilvl w:val="0"/>
          <w:numId w:val="2"/>
        </w:numPr>
        <w:spacing w:after="60"/>
      </w:pPr>
      <w:r>
        <w:rPr>
          <w:b/>
          <w:bCs/>
          <w:sz w:val="21"/>
          <w:szCs w:val="21"/>
        </w:rPr>
        <w:t xml:space="preserve">Diversification &amp; Capture</w:t>
      </w:r>
      <w:r>
        <w:rPr>
          <w:sz w:val="21"/>
          <w:szCs w:val="21"/>
        </w:rPr>
        <w:t xml:space="preserve"> — how holdings interact and behave in up/down markets.</w:t>
      </w:r>
    </w:p>
    <w:p>
      <w:pPr>
        <w:spacing w:after="120" w:before="0"/>
      </w:pPr>
      <w:r>
        <w:rPr>
          <w:sz w:val="21"/>
          <w:szCs w:val="21"/>
        </w:rPr>
        <w:t xml:space="preserve">Two further sections cover the higher-level engines built on top of these metrics:</w:t>
      </w:r>
    </w:p>
    <w:p>
      <w:pPr>
        <w:pStyle w:val="ListParagraph"/>
        <w:numPr>
          <w:ilvl w:val="0"/>
          <w:numId w:val="2"/>
        </w:numPr>
        <w:spacing w:after="60"/>
      </w:pPr>
      <w:r>
        <w:rPr>
          <w:b/>
          <w:bCs/>
          <w:sz w:val="21"/>
          <w:szCs w:val="21"/>
        </w:rPr>
        <w:t xml:space="preserve">Fundamental Analysis</w:t>
      </w:r>
      <w:r>
        <w:rPr>
          <w:sz w:val="21"/>
          <w:szCs w:val="21"/>
        </w:rPr>
        <w:t xml:space="preserve"> — valuation, profitability, health, growth, and quality scores drawn from company financial statements.</w:t>
      </w:r>
    </w:p>
    <w:p>
      <w:pPr>
        <w:pStyle w:val="ListParagraph"/>
        <w:numPr>
          <w:ilvl w:val="0"/>
          <w:numId w:val="2"/>
        </w:numPr>
        <w:spacing w:after="60"/>
      </w:pPr>
      <w:r>
        <w:rPr>
          <w:b/>
          <w:bCs/>
          <w:sz w:val="21"/>
          <w:szCs w:val="21"/>
        </w:rPr>
        <w:t xml:space="preserve">Composite &amp; Timeline Scores</w:t>
      </w:r>
      <w:r>
        <w:rPr>
          <w:sz w:val="21"/>
          <w:szCs w:val="21"/>
        </w:rPr>
        <w:t xml:space="preserve"> — how the app blends everything into portfolio rankings and holding-period guidance.</w:t>
      </w:r>
    </w:p>
    <w:p>
      <w:pPr>
        <w:spacing w:after="120" w:before="80"/>
      </w:pPr>
      <w:r>
        <w:rPr>
          <w:i/>
          <w:iCs/>
          <w:color w:val="555555"/>
          <w:sz w:val="21"/>
          <w:szCs w:val="21"/>
        </w:rPr>
        <w:t xml:space="preserve">Default assumptions used throughout: a risk-free rate of 4.3% (approximate short-term Treasury yield), 252 trading days per year, and a 5-year lookback period benchmarked against SPY unless you change these in the sidebar.</w:t>
      </w:r>
    </w:p>
    <w:p>
      <w:r>
        <w:br w:type="page"/>
      </w:r>
    </w:p>
    <w:p>
      <w:pPr>
        <w:pStyle w:val="Heading1"/>
      </w:pPr>
      <w:r>
        <w:t xml:space="preserve">1. Return Metrics</w:t>
      </w:r>
    </w:p>
    <w:p>
      <w:pPr>
        <w:spacing w:after="120" w:before="0"/>
      </w:pPr>
      <w:r>
        <w:rPr>
          <w:sz w:val="21"/>
          <w:szCs w:val="21"/>
        </w:rPr>
        <w:t xml:space="preserve">These measure raw performance — the growth of the investment over time, before any adjustment for risk.</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Total Return</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(Ending Price / Starting Price) − 1</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The overall percentage gain or loss across the entire lookback period, using dividend-adjusted prices.</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 simple cumulative figure. A total return of +150% means the position grew 2.5×. It does not account for how long it took, so it is not directly comparable between stocks held for different periods.</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Higher is better, but always read it alongside the time period and volatility — a 150% return over 5 years is very different from 150% in one year.</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Annualized Return (CAGR)</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(1 + Total Return) ^ (1 / Years) − 1</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The constant yearly growth rate that would produce the observed total return — the Compound Annual Growth Rate.</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This is the single most comparable return figure: it puts every holding on a per-year basis regardless of how long the window is. A CAGR of 20% means the investment grew, on average, 20% every year compounded.</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Compare against the benchmark's CAGR (e.g. SPY historically ~10%). Beating the benchmark CAGR is the baseline test for whether active selection added value.</w:t>
            </w:r>
          </w:p>
        </w:tc>
      </w:tr>
    </w:tbl>
    <w:p>
      <w:pPr>
        <w:spacing w:after="140"/>
      </w:pPr>
      <w:r>
        <w:t xml:space="preserve"/>
      </w:r>
    </w:p>
    <w:p>
      <w:r>
        <w:br w:type="page"/>
      </w:r>
    </w:p>
    <w:p>
      <w:pPr>
        <w:pStyle w:val="Heading1"/>
      </w:pPr>
      <w:r>
        <w:t xml:space="preserve">2. Risk Metrics</w:t>
      </w:r>
    </w:p>
    <w:p>
      <w:pPr>
        <w:spacing w:after="120" w:before="0"/>
      </w:pPr>
      <w:r>
        <w:rPr>
          <w:sz w:val="21"/>
          <w:szCs w:val="21"/>
        </w:rPr>
        <w:t xml:space="preserve">These quantify uncertainty and downside — how much the investment fluctuates and how severe its losses have been.</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Annualized Volatility</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StdDev(daily returns) × √252</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The standard deviation of returns, scaled to a yearly figure. The classic measure of total risk — how widely returns swing around their average.</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Higher volatility means a bumpier ride in both directions. A 60% volatility stock can plausibly move ±60% in a year; a 15% stock is far steadier. Volatility treats upside and downside swings equally.</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Context-dependent. Below 20% is low (large stable companies), 20–40% is moderate, above 50% is high (speculative growth names). Match it to your risk tolerance and holding period.</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Downside Deviation</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 Σ min(return − MAR, 0)² / N ] × √252</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Like volatility, but only counts returns that fall below a minimum acceptable return (MAR, set to the risk-free rate). It ignores upside swings.</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This addresses a complaint about volatility: investors do not mind big upside moves. Downside deviation isolates the 'bad' volatility. It feeds the Sortino ratio.</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Lower is better. A stock with high total volatility but low downside deviation is mostly volatile to the upside — often a desirable profile.</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Maximum Drawdown (Max DD)</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min[ (Price − Running Peak) / Running Peak ]</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The largest peak-to-trough decline experienced over the period — the worst loss you would have suffered if you bought at the worst possible time and sold at the bottom.</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This is the most visceral risk number: it answers 'how much pain would I have had to sit through?' A −66% max drawdown means the holding lost two-thirds of its value at its worst point.</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Smaller (closer to zero) is better. Critically, recovering from a drawdown requires a larger gain than the loss (a −50% drop needs +100% to recover). Match max drawdown tolerance to your holding horizon.</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Ulcer Index</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 Mean(Drawdown%²) ]  over all periods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The depth AND duration of drawdowns combined. Unlike max drawdown, which is a single worst point, the Ulcer Index captures how long and how deeply the investment stayed underwater.</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Named for the stomach discomfort of holding a losing position. A low Ulcer Index means drawdowns were shallow and brief; a high one means prolonged, deep underwater periods.</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Lower is better. Below 8 is comfortable, above 20 indicates a punishing hold-through experience even if the stock eventually recovered.</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Value at Risk (VaR 95% / 99%)</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Historical: −Percentile(returns, 5% or 1%)</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The loss threshold that is exceeded only X% of the time. VaR 95% is the daily loss you would expect to breach on only 5% of days (roughly one day in twenty).</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 VaR 95% of 3% means: on a typical bad day (the worst 5%), you would lose at least 3%. The app also shows VaR annualized for portfolio-level context. VaR 99% is more extreme — the worst 1% of days.</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Smaller is better. VaR tells you the edge of normal bad days, but by definition says nothing about how bad the rare tail events beyond it can get — which is why CVaR exists.</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Conditional VaR (CVaR / Expected Shortfall)</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−Mean( returns that fall below the VaR threshold )</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The average loss on the days when losses exceed VaR. Where VaR marks the edge of the worst 5%, CVaR tells you the average severity inside that tail.</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CVaR is more honest about catastrophic risk than VaR. If VaR 95% is 3% but CVaR 95% is 6%, it means that when you do have one of those bad days, the average loss is twice the VaR threshold.</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Smaller is better. The gap between CVaR and VaR signals tail fatness — a large gap means rare days are disproportionately brutal.</w:t>
            </w:r>
          </w:p>
        </w:tc>
      </w:tr>
    </w:tbl>
    <w:p>
      <w:pPr>
        <w:spacing w:after="140"/>
      </w:pPr>
      <w:r>
        <w:t xml:space="preserve"/>
      </w:r>
    </w:p>
    <w:p>
      <w:r>
        <w:br w:type="page"/>
      </w:r>
    </w:p>
    <w:p>
      <w:pPr>
        <w:pStyle w:val="Heading1"/>
      </w:pPr>
      <w:r>
        <w:t xml:space="preserve">3. Risk-Adjusted Ratios</w:t>
      </w:r>
    </w:p>
    <w:p>
      <w:pPr>
        <w:spacing w:after="120" w:before="0"/>
      </w:pPr>
      <w:r>
        <w:rPr>
          <w:sz w:val="21"/>
          <w:szCs w:val="21"/>
        </w:rPr>
        <w:t xml:space="preserve">These are the heart of portfolio analysis: they measure how much return was earned per unit of risk taken. A high return achieved through reckless risk scores poorly here.</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Sharpe Ratio</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(Annualized Return − Risk-Free Rate) / Annualized Volatility</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Excess return (above the risk-free rate) earned per unit of total volatility. The single most widely used risk-adjusted performance measure.</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Answers: 'for every unit of risk I took, how much extra return did I get?' It penalizes both poor returns and excessive volatility. Because it uses total volatility, it treats upside swings as 'risk' too.</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Below 0 = losing to cash. 0–1 = sub-par. Around 1 = good. Above 1.5 = excellent. Above 2 = exceptional (and worth double-checking for sustainability).</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Sortino Ratio</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(Annualized Return − Risk-Free Rate) / Downside Deviation</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Like Sharpe, but divides by downside deviation instead of total volatility — so it only penalizes harmful (downside) volatility.</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 fairer measure for investments with asymmetric returns. A stock that is volatile mostly to the upside will have a much higher Sortino than Sharpe. When Sortino greatly exceeds Sharpe, the volatility is 'good' volatility.</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Read on a similar scale to Sharpe but typically higher. Above 1.5 is strong; above 2 is very strong. Compare Sortino vs Sharpe to diagnose the shape of returns.</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Calmar Ratio</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Annualized Return / |Maximum Drawdown|</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Return earned per unit of worst-case drawdown. Directly connects reward to the most painful loss endured.</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Answers: 'was the return worth the worst drawdown I had to sit through?' A Calmar of 1.0 means the annual return equals the max drawdown. Favored by investors who care most about avoiding deep losses.</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Above 1 is good, above 3 is excellent. A low Calmar with a high return signals the gains came with stomach-churning drawdowns.</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Treynor Ratio</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(Annualized Return − Risk-Free Rate) / Beta</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Excess return per unit of market risk (beta), rather than per unit of total volatility.</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Useful when a stock is held inside a diversified portfolio, where only its market-correlated risk (beta) matters and its stock-specific risk is diversified away. Higher means more reward for the market exposure taken.</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Higher is better. Best used to compare holdings that will sit within a broader diversified portfolio rather than held alone.</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Information Ratio</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Mean(Return − Benchmark Return) × 252 / Tracking Error</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Consistency of outperformance versus the benchmark. Tracking error is the volatility of the return difference between the stock and benchmark.</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Answers: 'how reliably does this beat the benchmark, relative to how much it deviates from it?' High information ratio means steady, repeatable outperformance rather than lucky one-off jumps.</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Above 0.5 is good, above 1.0 is excellent and rare. Negative means it underperformed the benchmark on a risk-adjusted basis.</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Recovery Factor</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Total Return / |Maximum Drawdown|</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How many times over the investment recovered its worst drawdown through total gains.</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 high recovery factor means the cumulative gains dwarf the worst loss — the investment 'earned back' its pain many times over. A low one means returns barely compensated for the drawdown risk.</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Higher is better. Above 2–3 indicates the reward clearly justified the worst-case risk endured.</w:t>
            </w:r>
          </w:p>
        </w:tc>
      </w:tr>
    </w:tbl>
    <w:p>
      <w:pPr>
        <w:spacing w:after="140"/>
      </w:pPr>
      <w:r>
        <w:t xml:space="preserve"/>
      </w:r>
    </w:p>
    <w:p>
      <w:r>
        <w:br w:type="page"/>
      </w:r>
    </w:p>
    <w:p>
      <w:pPr>
        <w:pStyle w:val="Heading1"/>
      </w:pPr>
      <w:r>
        <w:t xml:space="preserve">4. Factor Metrics (vs Benchmark)</w:t>
      </w:r>
    </w:p>
    <w:p>
      <w:pPr>
        <w:spacing w:after="120" w:before="0"/>
      </w:pPr>
      <w:r>
        <w:rPr>
          <w:sz w:val="21"/>
          <w:szCs w:val="21"/>
        </w:rPr>
        <w:t xml:space="preserve">These describe how the investment behaves relative to the market benchmark (SPY by default), using the Capital Asset Pricing Model (CAPM) framework.</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Beta</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Covariance(stock, benchmark) / Variance(benchmark)</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Sensitivity to market movements. How much the stock tends to move for each 1% move in the benchmark.</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Beta = 1 means it moves in line with the market. Beta = 1.7 means it tends to move 1.7× as much (amplified up and down). Beta = 0.5 means it is half as reactive — more defensive. Beta below 0 (rare) means it moves opposite the market.</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Not 'good' or 'bad' on its own — it is a choice. High beta amplifies returns in bull markets and losses in bear markets. Low beta dampens both. Match to your market outlook and risk appetite.</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Alpha (Jensen's Alpha)</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Actual Return − [ Risk-Free + Beta × (Benchmark Return − Risk-Free) ]</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Return earned above and beyond what the stock's market risk (beta) would predict. The portion of return attributable to skill or stock-specific factors rather than market exposure.</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This is the holy grail: positive alpha means the investment outperformed its risk-adjusted expectation. An alpha of +8% means it delivered 8 percentage points more than CAPM predicted given its beta. Negative alpha means it underperformed expectations.</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Positive is good, and any sustained positive alpha is notable. Above +5% annualized is strong. Negative alpha is a warning that the stock took market risk without adequately rewarding it.</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R-Squared</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Correlation(stock, benchmark)²</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The proportion of the stock's movement explained by the benchmark, from 0 to 1 (often shown 0–100%).</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High R-squared (e.g. 0.9) means the stock closely tracks the market — its beta and alpha are statistically meaningful. Low R-squared (e.g. 0.3) means it moves largely independently, so its beta is a less reliable descriptor and alpha may be noisy.</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Neither high nor low is inherently better. Low R-squared is valuable for diversification (independent movement) but makes beta/alpha less trustworthy. Use it to judge how much to trust the other factor metrics.</w:t>
            </w:r>
          </w:p>
        </w:tc>
      </w:tr>
    </w:tbl>
    <w:p>
      <w:pPr>
        <w:spacing w:after="140"/>
      </w:pPr>
      <w:r>
        <w:t xml:space="preserve"/>
      </w:r>
    </w:p>
    <w:p>
      <w:r>
        <w:br w:type="page"/>
      </w:r>
    </w:p>
    <w:p>
      <w:pPr>
        <w:pStyle w:val="Heading1"/>
      </w:pPr>
      <w:r>
        <w:t xml:space="preserve">5. Diversification &amp; Capture Metrics</w:t>
      </w:r>
    </w:p>
    <w:p>
      <w:pPr>
        <w:spacing w:after="120" w:before="0"/>
      </w:pPr>
      <w:r>
        <w:rPr>
          <w:sz w:val="21"/>
          <w:szCs w:val="21"/>
        </w:rPr>
        <w:t xml:space="preserve">These portfolio-level metrics describe how holdings interact and how the portfolio behaves in rising versus falling markets.</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Herfindahl-Hirschman Index (HHI)</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Σ (weightᵢ)²  across all holdings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Portfolio concentration. The sum of squared portfolio weights, ranging from 1/N (perfectly equal-weighted) to 1 (everything in one position).</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Lower HHI means weight is spread evenly across holdings; higher means it is concentrated in a few. A 30-stock equal-weight portfolio has HHI ≈ 0.033. If HHI climbs to 0.12+, a handful of positions dominate the portfolio's fate.</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Lower generally means better diversification. Above 0.12 flags concentration risk. But extreme diversification can also dilute your best ideas — balance is the goal.</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Diversification Ratio</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(Σ weightᵢ × volatilityᵢ) / Portfolio Volatility</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How much volatility reduction the portfolio achieves through diversification. Compares the weighted-average volatility of holdings to the actual (lower) portfolio volatility.</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 ratio of 1.0 means no diversification benefit (holdings move in lockstep). A ratio of 2.0 means diversification cut the portfolio's volatility in half versus the average of its parts. Higher means holdings offset each other well.</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Higher is better. It rises when holdings have low correlation to each other. A high diversification ratio is the mathematical signature of a well-constructed portfolio.</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Effective N (Effective Number of Stocks)</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1 / HHI</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The number of equally-weighted positions that would produce the same concentration as your actual portfolio.</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Translates HHI into an intuitive count. A 30-stock portfolio that is heavily concentrated might have an Effective N of just 8 — meaning despite holding 30 names, it behaves as if you held only 8 equal positions.</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Higher means more genuine diversification. Compare it to your actual stock count: a large gap reveals hidden concentration.</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Upside Capture Ratio</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Stock return in up-benchmark periods / Benchmark return in those periods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How much of the market's gains the investment captures during periods when the benchmark rises.</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An upside capture of 120% means that when the market goes up, this stock typically gains 1.2× as much — it outperforms in rallies. Below 100% means it lags during up markets.</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Higher is better for upside capture. The ideal profile is high upside capture combined with low downside capture (see below).</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Downside Capture Ratio</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Stock return in down-benchmark periods / Benchmark return in those periods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How much of the market's losses the investment suffers during periods when the benchmark falls.</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 downside capture of 80% means that when the market drops, this stock only falls 0.8× as much — it cushions losses. Above 100% means it falls harder than the market in downturns.</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Lower is better for downside capture. The most desirable holdings show asymmetric capture: high upside (&gt;100%) and low downside (&lt;100%), meaning they outperform in rallies and resist in selloffs.</w:t>
            </w:r>
          </w:p>
        </w:tc>
      </w:tr>
    </w:tbl>
    <w:p>
      <w:pPr>
        <w:spacing w:after="140"/>
      </w:pPr>
      <w:r>
        <w:t xml:space="preserve"/>
      </w:r>
    </w:p>
    <w:p>
      <w:r>
        <w:br w:type="page"/>
      </w:r>
    </w:p>
    <w:p>
      <w:pPr>
        <w:pStyle w:val="Heading1"/>
      </w:pPr>
      <w:r>
        <w:t xml:space="preserve">6. Fundamental Analysis</w:t>
      </w:r>
    </w:p>
    <w:p>
      <w:pPr>
        <w:spacing w:after="120" w:before="0"/>
      </w:pPr>
      <w:r>
        <w:rPr>
          <w:sz w:val="21"/>
          <w:szCs w:val="21"/>
        </w:rPr>
        <w:t xml:space="preserve">Unlike the price-based metrics above, these draw from company financial statements (income statement, balance sheet, cash flow). The app scores each stock across five dimensions, each 0–100, then blends them into a composite grade and verdict.</w:t>
      </w:r>
    </w:p>
    <w:p>
      <w:pPr>
        <w:spacing w:after="140"/>
      </w:pPr>
      <w:r>
        <w:t xml:space="preserve"/>
      </w:r>
    </w:p>
    <w:p>
      <w:pPr>
        <w:pStyle w:val="Heading2"/>
      </w:pPr>
      <w:r>
        <w:t xml:space="preserve">6.1 Valuation Indicators</w:t>
      </w:r>
    </w:p>
    <w:p>
      <w:pPr>
        <w:spacing w:after="120" w:before="0"/>
      </w:pPr>
      <w:r>
        <w:rPr>
          <w:sz w:val="21"/>
          <w:szCs w:val="21"/>
        </w:rPr>
        <w:t xml:space="preserve">These judge whether a stock is cheap or expensive relative to its earnings, assets, and sector peers.</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Price-to-Earnings (P/E) — Trailing &amp; Forward</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Price / Earnings Per Share   (trailing uses last 12 months; forward uses estimates)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How many dollars investors pay for each dollar of the company's annual earnings.</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 P/E of 25 means you pay $25 per $1 of earnings. High P/E signals high growth expectations (or overvaluation); low P/E signals modest expectations (or undervaluation). Forward P/E uses projected earnings and is usually lower for growing companies. Only meaningful for profitable companies.</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Compare to the sector benchmark, not in absolute terms. The app scores P/E against sector medians (e.g. ~28× for Technology, ~14× for Energy). Below the sector median scores as attractive.</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EV/EBITDA</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Enterprise Value / Earnings Before Interest, Taxes, Depreciation &amp; Amortization</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Company value (including debt, minus cash) relative to its core operating earnings. A capital-structure-neutral valuation measure.</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Preferred over P/E for comparing companies with different debt levels, because it accounts for debt and strips out accounting choices. Lower means cheaper relative to operating cash generation.</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Scored against sector medians (e.g. ~22× Technology, ~8× Energy). Below sector median is attractive. Generally more reliable than P/E for cross-company comparison.</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Price-to-Book (P/B)</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Price / Book Value Per Share</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Market price relative to the company's accounting net asset value (assets minus liabilities).</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 P/B of 1 means the market values the company at exactly its book value. Below 1 can signal undervaluation (or a troubled business). Most relevant for asset-heavy businesses (banks, industrials); less meaningful for asset-light software or services.</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The app uses ~3.5× as a fair-value reference. Lower is cheaper, but interpret cautiously for asset-light businesses where book value understates true worth.</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Price-to-Sales (P/S)</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Market Cap / Trailing 12-Month Revenue</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Market value relative to revenue. Useful for companies that are not yet profitable, where P/E is meaningless.</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 P/S of 5 means you pay $5 per $1 of annual sales. Valuable for early-stage or high-growth companies with no earnings yet. High P/S demands high future margins to justify.</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Reference fair value ~5×. Lower is cheaper. Especially useful for pre-profit growth names where the app's other valuation metrics return blanks.</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PEG Ratio</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P/E Ratio / Earnings Growth Rate</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Valuation adjusted for growth. A P/E of 30 is expensive for a slow-growing company but cheap for one growing 40% a year — PEG captures this.</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PEG below 1.0 suggests the stock is undervalued relative to its growth. PEG of 1.0 is fairly valued. Above 2.0 means you are paying a steep premium even accounting for growth.</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Below 1.0 = undervalued vs growth (attractive). 1.0–2.0 = fair. Above 2.0 = expensive even for the growth. One of the most useful single valuation signals for growth stocks.</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DCF Fair Value &amp; Margin of Safety</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5-yr discounted free cash flows + terminal value, discounted at WACC (~10%); Margin of Safety = (Fair Value − Price) / Price</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An intrinsic value estimate built from projected free cash flows, compared to the current price. Margin of safety is the discount (or premium) of price to estimated fair value.</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 positive margin of safety means the stock trades below the model's intrinsic value estimate — a cushion. Negative means it trades above. The app assumes ~10% discount rate and 3% terminal growth, using the company's own cash-flow history for growth.</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Margin of safety above +15% flags 'Undervalued'; between −15% and +15% is 'Fairly Valued'; below −15% is 'Overvalued'. CAUTION: DCF is highly sensitive to growth assumptions — treat it as one input, not gospel.</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Analyst Upside</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(Mean Analyst Target Price / Current Price) − 1</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The consensus Wall Street price target relative to today's price, plus the recommendation key (buy/hold/sell).</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An analyst upside of +20% means the average analyst expects the stock to rise 20% to reach their target. Reflects professional sentiment, but analysts are often optimistic and slow to update, so use as a sentiment gauge rather than a prediction.</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Above +15% scores well. Always weigh against the number of analysts covering the stock — a target from 2 analysts is far less reliable than one from 25.</w:t>
            </w:r>
          </w:p>
        </w:tc>
      </w:tr>
    </w:tbl>
    <w:p>
      <w:pPr>
        <w:spacing w:after="140"/>
      </w:pPr>
      <w:r>
        <w:t xml:space="preserve"/>
      </w:r>
    </w:p>
    <w:p>
      <w:pPr>
        <w:pStyle w:val="Heading2"/>
      </w:pPr>
      <w:r>
        <w:t xml:space="preserve">6.2 Profitability Indicators</w:t>
      </w:r>
    </w:p>
    <w:p>
      <w:pPr>
        <w:spacing w:after="120" w:before="0"/>
      </w:pPr>
      <w:r>
        <w:rPr>
          <w:sz w:val="21"/>
          <w:szCs w:val="21"/>
        </w:rPr>
        <w:t xml:space="preserve">These measure how efficiently the company converts revenue and capital into profit.</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Gross / Operating / Net Margin</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Gross = Gross Profit / Revenue;  Operating = Operating Income / Revenue;  Net = Net Income / Revenue</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Profitability at three levels: after cost of goods (gross), after operating expenses (operating), and after everything including taxes and interest (net).</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Gross margin reflects pricing power and product economics. Operating margin reflects operational efficiency. Net margin is the bottom line. Tracking all three shows where profit is made or lost. High and stable margins indicate a strong competitive position.</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Sector-dependent, but as rough guides: gross &gt;60%, operating &gt;20%, net &gt;15% are all excellent. Negative operating/net margins flag a company not yet (or no longer) profitable.</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Return on Equity (ROE)</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Net Income / Shareholders' Equity</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How much profit the company generates for each dollar of shareholder capital.</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An ROE of 20% means the company earns 20 cents of profit per dollar of equity annually. High ROE signals efficient use of shareholder money — but can be inflated by heavy debt, so read alongside debt levels.</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Above 20% is excellent, above 15% is good. Be wary of very high ROE driven by large debt loads rather than genuine operating excellence.</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Return on Assets (ROA)</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Net Income / Total Assets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How efficiently the company uses its entire asset base to generate profit, regardless of how those assets were financed.</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Unlike ROE, ROA is not distorted by debt. A high ROA means the company squeezes more profit from its assets. Asset-light businesses (software) naturally show higher ROA than asset-heavy ones (utilities).</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Above 10% is excellent for most industries. Compare within the same sector, since asset intensity varies enormously across industries.</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Return on Invested Capital (ROIC)</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After-Tax Operating Profit / (Equity + Debt − Cash)</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The return generated on all capital actually put to work in the business — arguably the purest measure of business quality.</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ROIC answers whether the company creates value: if ROIC exceeds the cost of capital (WACC, ~10%), the company is building wealth; if below, it is destroying it. Sustained high ROIC is the hallmark of a durable competitive moat.</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Above 15% is excellent and signals a strong moat. Above the company's WACC (~10%) is the minimum bar for value creation. Below WACC is a red flag regardless of growth.</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Free Cash Flow (FCF) Yield</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Free Cash Flow / Market Cap</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The cash the business generates (after capital expenditures) relative to its market value — like an earnings yield but based on actual cash.</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An FCF yield of 6% means the company throws off cash equal to 6% of its market value each year. Cash is harder to manipulate than accounting earnings, so FCF yield is a robust value-and-quality signal. High FCF yield can fund dividends, buybacks, or reinvestment.</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Above 6% is excellent, above 4% is solid. Negative FCF yield (cash-burning) is acceptable only for early-stage growth companies with a credible path to profitability.</w:t>
            </w:r>
          </w:p>
        </w:tc>
      </w:tr>
    </w:tbl>
    <w:p>
      <w:pPr>
        <w:spacing w:after="140"/>
      </w:pPr>
      <w:r>
        <w:t xml:space="preserve"/>
      </w:r>
    </w:p>
    <w:p>
      <w:pPr>
        <w:pStyle w:val="Heading2"/>
      </w:pPr>
      <w:r>
        <w:t xml:space="preserve">6.3 Financial Health Indicators</w:t>
      </w:r>
    </w:p>
    <w:p>
      <w:pPr>
        <w:spacing w:after="120" w:before="0"/>
      </w:pPr>
      <w:r>
        <w:rPr>
          <w:sz w:val="21"/>
          <w:szCs w:val="21"/>
        </w:rPr>
        <w:t xml:space="preserve">These assess balance-sheet strength and the company's ability to weather stress and meet obligations.</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Debt-to-Equity (D/E)</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Total Debt / Shareholders' Equity</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How much the company relies on borrowed money versus shareholder capital to finance itself — its financial leverage.</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 D/E of 1.0 means equal debt and equity. Higher leverage amplifies both returns and risk, and makes the company more fragile in downturns or rising-rate environments. Some sectors (utilities, financials) naturally run higher.</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Below 1.0 is healthy for most companies; below 0.5 is conservative. Above 2.0 warrants scrutiny. Always compare within sector — capital-intensive industries carry more debt normally.</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Current Ratio</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Current Assets / Current Liabilities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The company's ability to cover its short-term obligations (due within a year) with its short-term assets.</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 current ratio of 2.0 means the company has $2 of liquid assets for every $1 of near-term liabilities. Below 1.0 means it may struggle to pay near-term bills without raising cash. Very high ratios can signal inefficient use of cash.</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Above 1.5 is healthy, above 2.0 is very comfortable. Below 1.0 is a liquidity warning sign that deserves investigation.</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Quick Ratio (Acid Test)</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(Current Assets − Inventory) / Current Liabilities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A stricter version of the current ratio that excludes inventory, which can be hard to convert to cash quickly.</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Measures the ability to meet short-term obligations using only the most liquid assets (cash, receivables). More conservative than the current ratio — important for businesses with large or slow-moving inventory.</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Above 1.0 is healthy (can cover short-term debts without selling inventory). Above 1.5 is strong. The gap between current and quick ratios reveals inventory dependence.</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Interest Coverage</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EBIT (Operating Income) / Interest Expense</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How many times over the company's operating earnings can cover its interest payments on debt.</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An interest coverage of 10× means operating profit is ten times the interest bill — very safe. Low coverage means a larger share of earnings goes to servicing debt, leaving the company vulnerable if earnings dip or rates rise.</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Above 10× is excellent, above 5× is healthy, below 2–3× is a serious solvency risk. One of the most important warning indicators for financially stressed companies.</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Cash-to-Debt &amp; Operating CF / Net Income</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Cash-to-Debt = Total Cash / Total Debt;  Quality = Operating Cash Flow / Net Income</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Cash-to-debt shows whether the company could repay its debt from cash on hand. The OCF/Net Income ratio checks whether reported earnings are backed by real cash.</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Cash-to-debt above 1.0 means net-cash positive (debt fully covered by cash) — a fortress balance sheet. For earnings quality, OCF/Net Income above 1.0 means earnings convert fully to cash; persistently below 1.0 can signal aggressive accounting.</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Cash-to-debt above 1.0 is excellent. OCF/Net Income above 1.2 signals high earnings quality; below 0.7 is a flag to investigate how 'real' the reported profits are.</w:t>
            </w:r>
          </w:p>
        </w:tc>
      </w:tr>
    </w:tbl>
    <w:p>
      <w:pPr>
        <w:spacing w:after="140"/>
      </w:pPr>
      <w:r>
        <w:t xml:space="preserve"/>
      </w:r>
    </w:p>
    <w:p>
      <w:pPr>
        <w:pStyle w:val="Heading2"/>
      </w:pPr>
      <w:r>
        <w:t xml:space="preserve">6.4 Growth Indicators</w:t>
      </w:r>
    </w:p>
    <w:p>
      <w:pPr>
        <w:spacing w:after="120" w:before="0"/>
      </w:pPr>
      <w:r>
        <w:rPr>
          <w:sz w:val="21"/>
          <w:szCs w:val="21"/>
        </w:rPr>
        <w:t xml:space="preserve">These measure the trajectory of the business — how fast revenue and earnings are expanding, and whether growth is accelerating.</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Revenue &amp; Earnings Growth (YoY)</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(Current Period − Prior Period) / Prior Period</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Year-over-year percentage change in revenue (top line) and earnings (bottom line).</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Revenue growth shows demand and market expansion; earnings growth shows whether that translates to profit. Earnings growing faster than revenue indicates expanding margins (operating leverage). Revenue growing without earnings can signal a land-grab or margin pressure.</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Revenue &gt;20% YoY and earnings &gt;15% YoY are both excellent. Compare the two: earnings outpacing revenue is a healthy sign of scaling efficiency.</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Revenue &amp; Earnings CAGR (3-Year)</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(Latest / 3 Years Ago) ^ (1/3) − 1</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The compound annual growth rate of revenue and earnings over the trailing three years — smoothing out single-year noise.</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 multi-year CAGR is more reliable than a single year-over-year figure because it filters out one-off spikes or dips. It reveals the durable growth trend of the business.</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Above 15% CAGR is excellent and sustainable growth is rare and valuable. Compare the 3-year CAGR to the latest YoY figure to see if growth is accelerating or decelerating.</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Revenue Acceleration Trend</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(Most recent YoY growth) − (Prior YoY growth)</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Whether the growth rate itself is speeding up or slowing down — the 'second derivative' of revenue.</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Positive acceleration means each year is growing faster than the last — a powerful signal often rewarded by the market. Deceleration, even at high absolute growth, can precede multiple compression as the market anticipates maturity.</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Accelerating (positive) is bullish. Decelerating is a yellow flag worth monitoring even when absolute growth is still high. Markets pay premiums for acceleration.</w:t>
            </w:r>
          </w:p>
        </w:tc>
      </w:tr>
    </w:tbl>
    <w:p>
      <w:pPr>
        <w:spacing w:after="140"/>
      </w:pPr>
      <w:r>
        <w:t xml:space="preserve"/>
      </w:r>
    </w:p>
    <w:p>
      <w:pPr>
        <w:pStyle w:val="Heading2"/>
      </w:pPr>
      <w:r>
        <w:t xml:space="preserve">6.5 Quality Indicators</w:t>
      </w:r>
    </w:p>
    <w:p>
      <w:pPr>
        <w:spacing w:after="120" w:before="0"/>
      </w:pPr>
      <w:r>
        <w:rPr>
          <w:sz w:val="21"/>
          <w:szCs w:val="21"/>
        </w:rPr>
        <w:t xml:space="preserve">These assess the durability and integrity of the business — whether earnings are real, consistent, and built on a sustainable competitive advantage.</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FCF Conversion</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Free Cash Flow / Net Income</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What fraction of reported accounting earnings actually turns into free cash.</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 conversion above 1.0 means the company generates more cash than its reported earnings — high quality. Persistently below 1.0 means earnings are not fully backed by cash, which can indicate aggressive revenue recognition or heavy reinvestment needs.</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Above 1.0 means earnings are 'real cash.' Above 0.8 is acceptable. Below 0.5 warrants investigation into why profits are not converting to cash.</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Earnings Consistency</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100 − StdDev(annual earnings growth rates)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The stability of year-to-year earnings growth. Smooth, predictable earnings score high; erratic, lumpy earnings score low.</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Consistent earnings are easier to value and signal a resilient business model. High volatility in earnings growth makes the company harder to predict and often deserves a lower valuation multiple. Cyclical businesses naturally score lower.</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Higher consistency (low earnings volatility) is better for predictability. Stable compounders command premium valuations precisely because of this reliability.</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ROIC vs WACC Spread</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Return on Invested Capital − Weighted Average Cost of Capital</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Whether the company earns more on its capital than that capital costs — the fundamental test of economic value creation.</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A positive spread means every dollar reinvested creates value; a negative spread means growth actually destroys value. This is the single most important quality test: a fast-growing company with ROIC below its cost of capital is digging a deeper hole.</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Positive and wide is excellent. ROIC above ~10% (typical WACC) is the minimum bar. The wider the positive spread, the stronger and more durable the competitive moat.</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Operating Leverage &amp; Payout Discipline</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Operating Leverage = Operating Margin / Gross Margin;  Payout Ratio = Dividends / Net Income</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Operating leverage shows how efficiently gross profit flows to operating profit. Payout ratio shows what fraction of earnings is returned as dividends.</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High operating leverage means most gross profit survives to operating profit (lean cost structure). For payout, a moderate ratio (20–60%) signals discipline — returning cash while retaining enough to reinvest. Very high payout (&gt;80%) risks an unsustainable dividend.</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Higher operating leverage is better. Payout ratio of 20–60% is the disciplined sweet spot; above 80% raises sustainability concerns about the dividend.</w:t>
            </w:r>
          </w:p>
        </w:tc>
      </w:tr>
    </w:tbl>
    <w:p>
      <w:pPr>
        <w:spacing w:after="140"/>
      </w:pPr>
      <w:r>
        <w:t xml:space="preserve"/>
      </w:r>
    </w:p>
    <w:p>
      <w:r>
        <w:br w:type="page"/>
      </w:r>
    </w:p>
    <w:p>
      <w:pPr>
        <w:pStyle w:val="Heading1"/>
      </w:pPr>
      <w:r>
        <w:t xml:space="preserve">7. Composite &amp; Timeline Scores</w:t>
      </w:r>
    </w:p>
    <w:p>
      <w:pPr>
        <w:spacing w:after="120" w:before="0"/>
      </w:pPr>
      <w:r>
        <w:rPr>
          <w:sz w:val="21"/>
          <w:szCs w:val="21"/>
        </w:rPr>
        <w:t xml:space="preserve">These are the app's higher-level synthesized scores, built by combining the individual metrics above into actionable rankings and guidance.</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Fundamental Composite Score (0–100) &amp; Grade</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Valuation×25% + Profitability×25% + Health×20% + Growth×20% + Quality×10%</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A single weighted score blending all five fundamental dimensions, mapped to a letter grade (A+ through F) and a verdict (STRONG BUY / BUY / HOLD / WEAK / AVOID).</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Lets you rank an entire watchlist by overall business quality and valuation at a glance. The weighting emphasizes valuation and profitability most, with quality as a lighter tiebreaker. A high score means a fundamentally strong company at a reasonable price.</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75+ = STRONG BUY territory (A grade). 62–75 = BUY. 48–62 = HOLD. Below 48 = WEAK or AVOID. Use it to sort, then dig into the individual dimensions before acting.</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Portfolio Combination Score</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Sharpe×35 + Calmar×12 + Alpha×18 + (FundComposite×0.30) − |MaxDD|×10 − HHI×25 + Horizon Bonus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The master ranking score for each candidate portfolio strategy (Max Sharpe, Fundamental Leaders, Value Play, etc.), blending price-based risk-adjusted performance with average fundamental quality.</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Rewards high risk-adjusted return (Sharpe, Calmar, Alpha) and strong fundamentals, while penalizing deep drawdowns and over-concentration. When fundamentals are loaded, they contribute up to 30 points, shifting rankings toward fundamentally sound portfolios.</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Used for relative ranking, not as an absolute threshold — the highest-scoring strategy among your candidates is the model's top pick. Always review the underlying metrics and holdings before committing.</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Horizon Score (Short / Medium / Long, 0–100)</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Rule-based scoring from volatility, beta, Sharpe, alpha, drawdown, Calmar, Ulcer, and upside capture</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How well-suited each stock is to a short-term (under 1 year), medium-term (1–3 years), or long-term (3+ years) holding period.</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High-momentum, high-beta, high-volatility names score toward Short. Steady compounders with strong Sharpe, positive alpha, and shallow drawdowns score toward Long. The highest of the three scores becomes the stock's recommended 'best horizon.'</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Use the best-horizon label to match each holding to your intended time frame. A mismatch — e.g. holding a 'Short' speculative name for years — is a common source of avoidable losses.</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Conviction Score &amp; Position Sizing</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Conviction = (Horizon Score × 55%) + (Fundamental Score × 45%);  Size scales with conviction, reduced for high vol/drawdown/negative alpha</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An overall confidence level (Very High → Speculative) that blends price-based and fundamental signals, translated into a recommended position-size range.</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Conviction combines 'does the price behavior support this?' with 'is the underlying business sound?' Higher conviction justifies a larger position; the sizing logic then trims that for extreme volatility, deep drawdowns, or negative alpha so risky names stay small.</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Very High conviction supports 8–12% positions; Speculative supports ~1%. Treat these as a disciplined starting framework, not a mandate — always respect your own concentration limits.</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B4A" w:val="clear"/>
            <w:tcMar>
              <w:top w:type="dxa" w:w="80"/>
              <w:left w:type="dxa" w:w="140"/>
              <w:bottom w:type="dxa" w:w="80"/>
              <w:right w:type="dxa" w:w="140"/>
            </w:tcMar>
          </w:tcPr>
          <w:p>
            <w:r>
              <w:rPr>
                <w:b/>
                <w:bCs/>
                <w:color w:val="FFFFFF"/>
                <w:sz w:val="23"/>
                <w:szCs w:val="23"/>
              </w:rPr>
              <w:t xml:space="preserve">Hurdle Rate vs Expected Return</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FORMULA</w:t>
            </w:r>
          </w:p>
          <w:p>
            <w:r>
              <w:rPr>
                <w:sz w:val="21"/>
                <w:szCs w:val="21"/>
              </w:rPr>
              <w:t xml:space="preserve">Hurdle = (1 + max(½ × MaxDD, 5%)) ^ (1/holding years) − 1;  compared to annualized expected return</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spacing w:after="40"/>
            </w:pPr>
            <w:r>
              <w:rPr>
                <w:b/>
                <w:bCs/>
                <w:color w:val="2E75B6"/>
                <w:sz w:val="18"/>
                <w:szCs w:val="18"/>
              </w:rPr>
              <w:t xml:space="preserve">WHAT IT MEASURES</w:t>
            </w:r>
          </w:p>
          <w:p>
            <w:r>
              <w:rPr>
                <w:sz w:val="21"/>
                <w:szCs w:val="21"/>
              </w:rPr>
              <w:t xml:space="preserve">The minimum annual return required to justify the risk taken over the intended holding period, compared against the stock's expected (historical annualized) return.</w:t>
            </w:r>
          </w:p>
        </w:tc>
      </w:tr>
      <w:tr>
        <w:tc>
          <w:tcPr>
            <w:tcW w:type="dxa" w:w="9360"/>
            <w:tcBorders>
              <w:top w:val="single" w:color="CCCCCC" w:sz="1"/>
              <w:left w:val="single" w:color="CCCCCC" w:sz="1"/>
              <w:bottom w:val="single" w:color="CCCCCC" w:sz="1"/>
              <w:right w:val="single" w:color="CCCCCC" w:sz="1"/>
            </w:tcBorders>
            <w:shd w:fill="F4F8FC" w:val="clear"/>
            <w:tcMar>
              <w:top w:type="dxa" w:w="70"/>
              <w:left w:type="dxa" w:w="140"/>
              <w:bottom w:type="dxa" w:w="70"/>
              <w:right w:type="dxa" w:w="140"/>
            </w:tcMar>
          </w:tcPr>
          <w:p>
            <w:pPr>
              <w:spacing w:after="40"/>
            </w:pPr>
            <w:r>
              <w:rPr>
                <w:b/>
                <w:bCs/>
                <w:color w:val="2E75B6"/>
                <w:sz w:val="18"/>
                <w:szCs w:val="18"/>
              </w:rPr>
              <w:t xml:space="preserve">HOW TO INTERPRET</w:t>
            </w:r>
          </w:p>
          <w:p>
            <w:r>
              <w:rPr>
                <w:sz w:val="21"/>
                <w:szCs w:val="21"/>
              </w:rPr>
              <w:t xml:space="preserve">If expected return exceeds the hurdle rate, the holding clears its risk-adjusted bar — the reward justifies the worst-case pain. A negative spread means the expected return is too thin for the drawdown risk being accepted.</w:t>
            </w:r>
          </w:p>
        </w:tc>
      </w:tr>
      <w:tr>
        <w:tc>
          <w:tcPr>
            <w:tcW w:type="dxa" w:w="9360"/>
            <w:tcBorders>
              <w:top w:val="single" w:color="CCCCCC" w:sz="1"/>
              <w:left w:val="single" w:color="CCCCCC" w:sz="1"/>
              <w:bottom w:val="single" w:color="CCCCCC" w:sz="1"/>
              <w:right w:val="single" w:color="CCCCCC" w:sz="1"/>
            </w:tcBorders>
            <w:shd w:fill="EAF1F8" w:val="clear"/>
            <w:tcMar>
              <w:top w:type="dxa" w:w="70"/>
              <w:left w:type="dxa" w:w="140"/>
              <w:bottom w:type="dxa" w:w="70"/>
              <w:right w:type="dxa" w:w="140"/>
            </w:tcMar>
          </w:tcPr>
          <w:p>
            <w:pPr>
              <w:spacing w:after="40"/>
            </w:pPr>
            <w:r>
              <w:rPr>
                <w:b/>
                <w:bCs/>
                <w:color w:val="2E75B6"/>
                <w:sz w:val="18"/>
                <w:szCs w:val="18"/>
              </w:rPr>
              <w:t xml:space="preserve">RULE OF THUMB</w:t>
            </w:r>
          </w:p>
          <w:p>
            <w:r>
              <w:rPr>
                <w:sz w:val="21"/>
                <w:szCs w:val="21"/>
              </w:rPr>
              <w:t xml:space="preserve">A positive spread (expected return above hurdle) is the green light. The wider the positive spread, the more margin of safety in the risk-reward trade. Negative spread = reconsider the position size or the thesis.</w:t>
            </w:r>
          </w:p>
        </w:tc>
      </w:tr>
    </w:tbl>
    <w:p>
      <w:pPr>
        <w:spacing w:after="140"/>
      </w:pPr>
      <w:r>
        <w:t xml:space="preserve"/>
      </w:r>
    </w:p>
    <w:p>
      <w:r>
        <w:br w:type="page"/>
      </w:r>
    </w:p>
    <w:p>
      <w:pPr>
        <w:pStyle w:val="Heading1"/>
      </w:pPr>
      <w:r>
        <w:t xml:space="preserve">Important Notes</w:t>
      </w:r>
    </w:p>
    <w:p>
      <w:pPr>
        <w:pStyle w:val="ListParagraph"/>
        <w:numPr>
          <w:ilvl w:val="0"/>
          <w:numId w:val="2"/>
        </w:numPr>
        <w:spacing w:after="60"/>
      </w:pPr>
      <w:r>
        <w:rPr>
          <w:b/>
          <w:bCs/>
          <w:sz w:val="21"/>
          <w:szCs w:val="21"/>
        </w:rPr>
        <w:t xml:space="preserve">All metrics are descriptive, not predictive.</w:t>
      </w:r>
      <w:r>
        <w:rPr>
          <w:sz w:val="21"/>
          <w:szCs w:val="21"/>
        </w:rPr>
        <w:t xml:space="preserve"> They summarize historical behavior and current financials. Past performance and current ratios do not guarantee future results.</w:t>
      </w:r>
    </w:p>
    <w:p>
      <w:pPr>
        <w:pStyle w:val="ListParagraph"/>
        <w:numPr>
          <w:ilvl w:val="0"/>
          <w:numId w:val="2"/>
        </w:numPr>
        <w:spacing w:after="60"/>
      </w:pPr>
      <w:r>
        <w:rPr>
          <w:b/>
          <w:bCs/>
          <w:sz w:val="21"/>
          <w:szCs w:val="21"/>
        </w:rPr>
        <w:t xml:space="preserve">No single metric is sufficient.</w:t>
      </w:r>
      <w:r>
        <w:rPr>
          <w:sz w:val="21"/>
          <w:szCs w:val="21"/>
        </w:rPr>
        <w:t xml:space="preserve"> Each captures one facet. A stock can score brilliantly on momentum and terribly on valuation. The point of the multi-dimensional view is to see the whole picture and the trade-offs.</w:t>
      </w:r>
    </w:p>
    <w:p>
      <w:pPr>
        <w:pStyle w:val="ListParagraph"/>
        <w:numPr>
          <w:ilvl w:val="0"/>
          <w:numId w:val="2"/>
        </w:numPr>
        <w:spacing w:after="60"/>
      </w:pPr>
      <w:r>
        <w:rPr>
          <w:b/>
          <w:bCs/>
          <w:sz w:val="21"/>
          <w:szCs w:val="21"/>
        </w:rPr>
        <w:t xml:space="preserve">Sector context matters enormously.</w:t>
      </w:r>
      <w:r>
        <w:rPr>
          <w:sz w:val="21"/>
          <w:szCs w:val="21"/>
        </w:rPr>
        <w:t xml:space="preserve"> Valuation multiples, margins, and leverage norms vary dramatically across industries. The app benchmarks many metrics against sector medians for this reason — always compare like with like.</w:t>
      </w:r>
    </w:p>
    <w:p>
      <w:pPr>
        <w:pStyle w:val="ListParagraph"/>
        <w:numPr>
          <w:ilvl w:val="0"/>
          <w:numId w:val="2"/>
        </w:numPr>
        <w:spacing w:after="60"/>
      </w:pPr>
      <w:r>
        <w:rPr>
          <w:b/>
          <w:bCs/>
          <w:sz w:val="21"/>
          <w:szCs w:val="21"/>
        </w:rPr>
        <w:t xml:space="preserve">Fundamental data depends on the data source.</w:t>
      </w:r>
      <w:r>
        <w:rPr>
          <w:sz w:val="21"/>
          <w:szCs w:val="21"/>
        </w:rPr>
        <w:t xml:space="preserve"> Figures are pulled from Yahoo Finance and can occasionally be stale, missing, or misclassified, especially for smaller or non-US-listed companies. Verify any figure that drives a real decision.</w:t>
      </w:r>
    </w:p>
    <w:p>
      <w:pPr>
        <w:pStyle w:val="ListParagraph"/>
        <w:numPr>
          <w:ilvl w:val="0"/>
          <w:numId w:val="2"/>
        </w:numPr>
        <w:spacing w:after="60"/>
      </w:pPr>
      <w:r>
        <w:rPr>
          <w:b/>
          <w:bCs/>
          <w:sz w:val="21"/>
          <w:szCs w:val="21"/>
        </w:rPr>
        <w:t xml:space="preserve">The DCF model is assumption-sensitive.</w:t>
      </w:r>
      <w:r>
        <w:rPr>
          <w:sz w:val="21"/>
          <w:szCs w:val="21"/>
        </w:rPr>
        <w:t xml:space="preserve"> Small changes to the growth rate or discount rate swing the fair value substantially. Use it as one perspective among several, never as a standalone trigger.</w:t>
      </w:r>
    </w:p>
    <w:p>
      <w:pPr>
        <w:pStyle w:val="ListParagraph"/>
        <w:numPr>
          <w:ilvl w:val="0"/>
          <w:numId w:val="2"/>
        </w:numPr>
        <w:spacing w:after="60"/>
      </w:pPr>
      <w:r>
        <w:rPr>
          <w:b/>
          <w:bCs/>
          <w:sz w:val="21"/>
          <w:szCs w:val="21"/>
        </w:rPr>
        <w:t xml:space="preserve">This guide and the app are decision-support tools, not financial advice.</w:t>
      </w:r>
      <w:r>
        <w:rPr>
          <w:sz w:val="21"/>
          <w:szCs w:val="21"/>
        </w:rPr>
        <w:t xml:space="preserve"> They are designed to organize information and surface trade-offs for your own judgment, not to replace it or to recommend specific transactions.</w:t>
      </w:r>
    </w:p>
    <w:p>
      <w:pPr>
        <w:spacing w:after="140"/>
      </w:pPr>
      <w:r>
        <w:t xml:space="preserve"/>
      </w:r>
    </w:p>
    <w:p>
      <w:pPr>
        <w:spacing w:after="120" w:before="200"/>
      </w:pPr>
      <w:r>
        <w:rPr>
          <w:i/>
          <w:iCs/>
          <w:color w:val="555555"/>
          <w:sz w:val="21"/>
          <w:szCs w:val="21"/>
        </w:rPr>
        <w:t xml:space="preserve">Portfolio Analyzer v3 — Metrics &amp; Indicators Reference Guide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Portfolio Analyzer v3  —  Metrics Reference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A2B4A"/>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1E844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Metrics &amp; Indicators Reference Guide</dc:title>
  <dc:creator>Portfolio Analyzer v3</dc:creator>
  <cp:lastModifiedBy>Un-named</cp:lastModifiedBy>
  <cp:revision>1</cp:revision>
  <dcterms:created xsi:type="dcterms:W3CDTF">2026-05-30T15:03:09.566Z</dcterms:created>
  <dcterms:modified xsi:type="dcterms:W3CDTF">2026-05-30T15:03:09.567Z</dcterms:modified>
</cp:coreProperties>
</file>

<file path=docProps/custom.xml><?xml version="1.0" encoding="utf-8"?>
<Properties xmlns="http://schemas.openxmlformats.org/officeDocument/2006/custom-properties" xmlns:vt="http://schemas.openxmlformats.org/officeDocument/2006/docPropsVTypes"/>
</file>