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726E9" w14:textId="6C6A9275" w:rsidR="00CF4886" w:rsidRPr="00793AB8" w:rsidRDefault="00793AB8">
      <w:pPr>
        <w:rPr>
          <w:rFonts w:ascii="Palatino Linotype" w:hAnsi="Palatino Linotype"/>
          <w:b/>
          <w:bCs/>
          <w:sz w:val="32"/>
          <w:szCs w:val="24"/>
        </w:rPr>
      </w:pPr>
      <w:r w:rsidRPr="00793AB8">
        <w:rPr>
          <w:rFonts w:ascii="Palatino Linotype" w:hAnsi="Palatino Linotype"/>
          <w:b/>
          <w:bCs/>
          <w:sz w:val="32"/>
          <w:szCs w:val="24"/>
        </w:rPr>
        <w:t>Hướng Dẫn Học Tập: Nguyên Tắc Cơ Bản về ESG</w:t>
      </w:r>
    </w:p>
    <w:p w14:paraId="35C3FF82" w14:textId="77777777" w:rsidR="00793AB8" w:rsidRPr="00793AB8" w:rsidRDefault="00793AB8">
      <w:pPr>
        <w:rPr>
          <w:rFonts w:ascii="Palatino Linotype" w:hAnsi="Palatino Linotype"/>
        </w:rPr>
      </w:pPr>
    </w:p>
    <w:p w14:paraId="5BEB48F0"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Hãy xem xét các câu hỏi sau đây để khám phá các chủ đề một cách sâu sắc hơn. Không cần phải viết câu trả lời, thay vào đó, hãy sử dụng chúng như những gợi ý để tư duy phản biện về các khái niệm ESG.</w:t>
      </w:r>
    </w:p>
    <w:p w14:paraId="6C5A17AC"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1. Phân tích sự phát triển của ESG từ nguồn gốc của nó trong những năm 1960 cho đến quỹ đạo dự kiến sau năm 2027. Những sự kiện xã hội, môi trường và quản trị quan trọng nào đã thúc đẩy sự chuyển đổi này?</w:t>
      </w:r>
    </w:p>
    <w:p w14:paraId="574B09C9"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2. Thảo luận về mối liên kết giữa ba trụ cột của ESG: Môi trường, Xã hội và Quản trị. Sử dụng các ví dụ cụ thể từ tài liệu, giải thích cách một hành động trong một trụ cột có thể tác động tích cực hoặc tiêu cực đến các trụ cột khác.</w:t>
      </w:r>
    </w:p>
    <w:p w14:paraId="74C337DD"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3. Xem xét khái niệm về các bên liên quan của ESG. Tại sao việc mở rộng định nghĩa về bên liên quan, đặc biệt là việc bao gồm môi trường, lại quan trọng đối với sự thành công và bền vững lâu dài của một doanh nghiệp?</w:t>
      </w:r>
    </w:p>
    <w:p w14:paraId="0042FCF2"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4. So sánh và đối chiếu các phương pháp tiếp cận ESG của Brambles và Patagonia. Những yếu tố chung nào đã góp phần vào thành công của họ, và các chiến lược của họ khác nhau như thế nào để phù hợp với các ngành công nghiệp tương ứng?</w:t>
      </w:r>
    </w:p>
    <w:p w14:paraId="24EE7382"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5. Đánh giá vai trò của cá nhân so với vai trò của tổ chức trong việc thúc đẩy các sáng kiến ESG. Theo bạn, trách nhiệm cuối cùng nằm ở đâu để tạo ra sự thay đổi có ý nghĩa, và làm thế nào để các nỗ lực cá nhân và chiến lược của công ty có thể bổ sung cho nhau một cách hiệu quả?</w:t>
      </w:r>
    </w:p>
    <w:p w14:paraId="6AD2006B"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w:t>
      </w:r>
    </w:p>
    <w:p w14:paraId="1566E7F5"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Phần IV: Bảng Chú Giải Thuật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4"/>
        <w:gridCol w:w="6625"/>
      </w:tblGrid>
      <w:tr w:rsidR="00793AB8" w:rsidRPr="00793AB8" w14:paraId="5B74313D" w14:textId="77777777" w:rsidTr="00793AB8">
        <w:tc>
          <w:tcPr>
            <w:tcW w:w="0" w:type="auto"/>
            <w:vAlign w:val="center"/>
            <w:hideMark/>
          </w:tcPr>
          <w:p w14:paraId="27DD68D0" w14:textId="77777777" w:rsidR="00793AB8" w:rsidRPr="00793AB8" w:rsidRDefault="00793AB8" w:rsidP="00793AB8">
            <w:pPr>
              <w:jc w:val="center"/>
              <w:rPr>
                <w:rFonts w:ascii="Palatino Linotype" w:hAnsi="Palatino Linotype"/>
                <w:b/>
                <w:bCs/>
                <w:lang w:val="vi-VN"/>
              </w:rPr>
            </w:pPr>
            <w:r w:rsidRPr="00793AB8">
              <w:rPr>
                <w:rFonts w:ascii="Palatino Linotype" w:hAnsi="Palatino Linotype"/>
                <w:b/>
                <w:bCs/>
                <w:lang w:val="vi-VN"/>
              </w:rPr>
              <w:t>Thuật Ngữ</w:t>
            </w:r>
          </w:p>
        </w:tc>
        <w:tc>
          <w:tcPr>
            <w:tcW w:w="0" w:type="auto"/>
            <w:vAlign w:val="center"/>
            <w:hideMark/>
          </w:tcPr>
          <w:p w14:paraId="740ABFFD" w14:textId="77777777" w:rsidR="00793AB8" w:rsidRPr="00793AB8" w:rsidRDefault="00793AB8" w:rsidP="00793AB8">
            <w:pPr>
              <w:jc w:val="center"/>
              <w:rPr>
                <w:rFonts w:ascii="Palatino Linotype" w:hAnsi="Palatino Linotype"/>
                <w:b/>
                <w:bCs/>
                <w:lang w:val="vi-VN"/>
              </w:rPr>
            </w:pPr>
            <w:r w:rsidRPr="00793AB8">
              <w:rPr>
                <w:rFonts w:ascii="Palatino Linotype" w:hAnsi="Palatino Linotype"/>
                <w:b/>
                <w:bCs/>
                <w:lang w:val="vi-VN"/>
              </w:rPr>
              <w:t>Định Nghĩa</w:t>
            </w:r>
          </w:p>
        </w:tc>
      </w:tr>
      <w:tr w:rsidR="00793AB8" w:rsidRPr="00793AB8" w14:paraId="09FA43A2" w14:textId="77777777" w:rsidTr="00793AB8">
        <w:tc>
          <w:tcPr>
            <w:tcW w:w="0" w:type="auto"/>
            <w:vAlign w:val="center"/>
            <w:hideMark/>
          </w:tcPr>
          <w:p w14:paraId="1391D365" w14:textId="77777777" w:rsidR="00793AB8" w:rsidRPr="00793AB8" w:rsidRDefault="00793AB8" w:rsidP="00793AB8">
            <w:pPr>
              <w:rPr>
                <w:rFonts w:ascii="Palatino Linotype" w:hAnsi="Palatino Linotype"/>
                <w:lang w:val="vi-VN"/>
              </w:rPr>
            </w:pPr>
            <w:r w:rsidRPr="00793AB8">
              <w:rPr>
                <w:rFonts w:ascii="Palatino Linotype" w:hAnsi="Palatino Linotype"/>
                <w:b/>
                <w:bCs/>
                <w:lang w:val="vi-VN"/>
              </w:rPr>
              <w:lastRenderedPageBreak/>
              <w:t>ESG (Môi trường, Xã hội và Quản trị)</w:t>
            </w:r>
          </w:p>
        </w:tc>
        <w:tc>
          <w:tcPr>
            <w:tcW w:w="0" w:type="auto"/>
            <w:vAlign w:val="center"/>
            <w:hideMark/>
          </w:tcPr>
          <w:p w14:paraId="5C678230"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Một khuôn khổ khuyến khích các công ty tích hợp các hoạt động bền vững và có trách nhiệm vào hoạt động, quy trình ra quyết định và chiến lược kinh doanh tổng thể.</w:t>
            </w:r>
          </w:p>
        </w:tc>
      </w:tr>
      <w:tr w:rsidR="00793AB8" w:rsidRPr="00793AB8" w14:paraId="33262987" w14:textId="77777777" w:rsidTr="00793AB8">
        <w:tc>
          <w:tcPr>
            <w:tcW w:w="0" w:type="auto"/>
            <w:vAlign w:val="center"/>
            <w:hideMark/>
          </w:tcPr>
          <w:p w14:paraId="6101494F" w14:textId="77777777" w:rsidR="00793AB8" w:rsidRPr="00793AB8" w:rsidRDefault="00793AB8" w:rsidP="00793AB8">
            <w:pPr>
              <w:rPr>
                <w:rFonts w:ascii="Palatino Linotype" w:hAnsi="Palatino Linotype"/>
                <w:lang w:val="vi-VN"/>
              </w:rPr>
            </w:pPr>
            <w:r w:rsidRPr="00793AB8">
              <w:rPr>
                <w:rFonts w:ascii="Palatino Linotype" w:hAnsi="Palatino Linotype"/>
                <w:b/>
                <w:bCs/>
                <w:lang w:val="vi-VN"/>
              </w:rPr>
              <w:t>Bên liên quan (Stakeholder)</w:t>
            </w:r>
          </w:p>
        </w:tc>
        <w:tc>
          <w:tcPr>
            <w:tcW w:w="0" w:type="auto"/>
            <w:vAlign w:val="center"/>
            <w:hideMark/>
          </w:tcPr>
          <w:p w14:paraId="09664307"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Một cá nhân, nhóm hoặc tổ chức có lợi ích, ảnh hưởng hoặc bị ảnh hưởng bởi các hành động của một doanh nghiệp hoặc dự án.</w:t>
            </w:r>
          </w:p>
        </w:tc>
      </w:tr>
      <w:tr w:rsidR="00793AB8" w:rsidRPr="00793AB8" w14:paraId="7BA7F8C7" w14:textId="77777777" w:rsidTr="00793AB8">
        <w:tc>
          <w:tcPr>
            <w:tcW w:w="0" w:type="auto"/>
            <w:vAlign w:val="center"/>
            <w:hideMark/>
          </w:tcPr>
          <w:p w14:paraId="5A13EC8B" w14:textId="77777777" w:rsidR="00793AB8" w:rsidRPr="00793AB8" w:rsidRDefault="00793AB8" w:rsidP="00793AB8">
            <w:pPr>
              <w:rPr>
                <w:rFonts w:ascii="Palatino Linotype" w:hAnsi="Palatino Linotype"/>
                <w:lang w:val="vi-VN"/>
              </w:rPr>
            </w:pPr>
            <w:r w:rsidRPr="00793AB8">
              <w:rPr>
                <w:rFonts w:ascii="Palatino Linotype" w:hAnsi="Palatino Linotype"/>
                <w:b/>
                <w:bCs/>
                <w:lang w:val="vi-VN"/>
              </w:rPr>
              <w:t>Tính bền vững lâu dài (Long-term sustainability)</w:t>
            </w:r>
          </w:p>
        </w:tc>
        <w:tc>
          <w:tcPr>
            <w:tcW w:w="0" w:type="auto"/>
            <w:vAlign w:val="center"/>
            <w:hideMark/>
          </w:tcPr>
          <w:p w14:paraId="49667BCB"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Một cách tiếp cận kinh doanh giúp các tổ chức nhận ra tác động môi trường của mình và khuyến khích họ áp dụng các thực hành bền vững, giảm lượng khí thải carbon, bảo tồn tài nguyên và giảm thiểu chất thải.</w:t>
            </w:r>
          </w:p>
        </w:tc>
      </w:tr>
      <w:tr w:rsidR="00793AB8" w:rsidRPr="00793AB8" w14:paraId="4FE37DB3" w14:textId="77777777" w:rsidTr="00793AB8">
        <w:tc>
          <w:tcPr>
            <w:tcW w:w="0" w:type="auto"/>
            <w:vAlign w:val="center"/>
            <w:hideMark/>
          </w:tcPr>
          <w:p w14:paraId="75FFE8EB" w14:textId="77777777" w:rsidR="00793AB8" w:rsidRPr="00793AB8" w:rsidRDefault="00793AB8" w:rsidP="00793AB8">
            <w:pPr>
              <w:rPr>
                <w:rFonts w:ascii="Palatino Linotype" w:hAnsi="Palatino Linotype"/>
                <w:lang w:val="vi-VN"/>
              </w:rPr>
            </w:pPr>
            <w:r w:rsidRPr="00793AB8">
              <w:rPr>
                <w:rFonts w:ascii="Palatino Linotype" w:hAnsi="Palatino Linotype"/>
                <w:b/>
                <w:bCs/>
                <w:lang w:val="vi-VN"/>
              </w:rPr>
              <w:t>Không phát thải ròng (Net Zero)</w:t>
            </w:r>
          </w:p>
        </w:tc>
        <w:tc>
          <w:tcPr>
            <w:tcW w:w="0" w:type="auto"/>
            <w:vAlign w:val="center"/>
            <w:hideMark/>
          </w:tcPr>
          <w:p w14:paraId="75977EAC"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Mục tiêu giảm lượng khí thải nhà kính do con người gây ra xuống càng gần bằng không càng tốt. Brambles có lộ trình đạt được mục tiêu này vào năm 2040.</w:t>
            </w:r>
          </w:p>
        </w:tc>
      </w:tr>
      <w:tr w:rsidR="00793AB8" w:rsidRPr="00793AB8" w14:paraId="3B403C60" w14:textId="77777777" w:rsidTr="00793AB8">
        <w:tc>
          <w:tcPr>
            <w:tcW w:w="0" w:type="auto"/>
            <w:vAlign w:val="center"/>
            <w:hideMark/>
          </w:tcPr>
          <w:p w14:paraId="655A278C" w14:textId="77777777" w:rsidR="00793AB8" w:rsidRPr="00793AB8" w:rsidRDefault="00793AB8" w:rsidP="00793AB8">
            <w:pPr>
              <w:rPr>
                <w:rFonts w:ascii="Palatino Linotype" w:hAnsi="Palatino Linotype"/>
                <w:lang w:val="vi-VN"/>
              </w:rPr>
            </w:pPr>
            <w:r w:rsidRPr="00793AB8">
              <w:rPr>
                <w:rFonts w:ascii="Palatino Linotype" w:hAnsi="Palatino Linotype"/>
                <w:b/>
                <w:bCs/>
                <w:lang w:val="vi-VN"/>
              </w:rPr>
              <w:t>Mục tiêu Phát triển Bền vững (SDGs)</w:t>
            </w:r>
          </w:p>
        </w:tc>
        <w:tc>
          <w:tcPr>
            <w:tcW w:w="0" w:type="auto"/>
            <w:vAlign w:val="center"/>
            <w:hideMark/>
          </w:tcPr>
          <w:p w14:paraId="4EAC18CC"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Được Liên Hợp Quốc thiết lập vào năm 2015 để giải quyết các tác động môi trường và bất công xã hội, nhằm mục tiêu một tương lai bền vững cho tất cả mọi người.</w:t>
            </w:r>
          </w:p>
        </w:tc>
      </w:tr>
      <w:tr w:rsidR="00793AB8" w:rsidRPr="00793AB8" w14:paraId="52FAE972" w14:textId="77777777" w:rsidTr="00793AB8">
        <w:tc>
          <w:tcPr>
            <w:tcW w:w="0" w:type="auto"/>
            <w:vAlign w:val="center"/>
            <w:hideMark/>
          </w:tcPr>
          <w:p w14:paraId="2A5908CA" w14:textId="77777777" w:rsidR="00793AB8" w:rsidRPr="00793AB8" w:rsidRDefault="00793AB8" w:rsidP="00793AB8">
            <w:pPr>
              <w:rPr>
                <w:rFonts w:ascii="Palatino Linotype" w:hAnsi="Palatino Linotype"/>
                <w:lang w:val="vi-VN"/>
              </w:rPr>
            </w:pPr>
            <w:r w:rsidRPr="00793AB8">
              <w:rPr>
                <w:rFonts w:ascii="Palatino Linotype" w:hAnsi="Palatino Linotype"/>
                <w:b/>
                <w:bCs/>
                <w:lang w:val="vi-VN"/>
              </w:rPr>
              <w:t>Hiệp định Paris</w:t>
            </w:r>
          </w:p>
        </w:tc>
        <w:tc>
          <w:tcPr>
            <w:tcW w:w="0" w:type="auto"/>
            <w:vAlign w:val="center"/>
            <w:hideMark/>
          </w:tcPr>
          <w:p w14:paraId="34B30606"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Một hiệp ước quốc tế quan trọng thuộc UNFCCC có hiệu lực vào năm 2016, trong đó các quốc gia cam kết hành động để giảm phát thải khí nhà kính và tăng cường khả năng chống chịu với các tác động của biến đổi khí hậu.</w:t>
            </w:r>
          </w:p>
        </w:tc>
      </w:tr>
      <w:tr w:rsidR="00793AB8" w:rsidRPr="00793AB8" w14:paraId="1FF7AD55" w14:textId="77777777" w:rsidTr="00793AB8">
        <w:tc>
          <w:tcPr>
            <w:tcW w:w="0" w:type="auto"/>
            <w:vAlign w:val="center"/>
            <w:hideMark/>
          </w:tcPr>
          <w:p w14:paraId="7EDAAF60" w14:textId="77777777" w:rsidR="00793AB8" w:rsidRPr="00793AB8" w:rsidRDefault="00793AB8" w:rsidP="00793AB8">
            <w:pPr>
              <w:rPr>
                <w:rFonts w:ascii="Palatino Linotype" w:hAnsi="Palatino Linotype"/>
                <w:lang w:val="vi-VN"/>
              </w:rPr>
            </w:pPr>
            <w:r w:rsidRPr="00793AB8">
              <w:rPr>
                <w:rFonts w:ascii="Palatino Linotype" w:hAnsi="Palatino Linotype"/>
                <w:b/>
                <w:bCs/>
                <w:lang w:val="vi-VN"/>
              </w:rPr>
              <w:t>Quản lý rủi ro (Risk management)</w:t>
            </w:r>
          </w:p>
        </w:tc>
        <w:tc>
          <w:tcPr>
            <w:tcW w:w="0" w:type="auto"/>
            <w:vAlign w:val="center"/>
            <w:hideMark/>
          </w:tcPr>
          <w:p w14:paraId="2686E479"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Trong bối cảnh ESG, điều này bao gồm việc đánh giá mối quan hệ của công ty với nhân viên, khách hàng, nhà cung cấp và cộng đồng rộng lớn hơn để giảm thiểu các rủi ro như gian lận, tham nhũng và không tuân thủ quy định.</w:t>
            </w:r>
          </w:p>
        </w:tc>
      </w:tr>
      <w:tr w:rsidR="00793AB8" w:rsidRPr="00793AB8" w14:paraId="785F8D62" w14:textId="77777777" w:rsidTr="00793AB8">
        <w:tc>
          <w:tcPr>
            <w:tcW w:w="0" w:type="auto"/>
            <w:vAlign w:val="center"/>
            <w:hideMark/>
          </w:tcPr>
          <w:p w14:paraId="7BC15245" w14:textId="77777777" w:rsidR="00793AB8" w:rsidRPr="00793AB8" w:rsidRDefault="00793AB8" w:rsidP="00793AB8">
            <w:pPr>
              <w:rPr>
                <w:rFonts w:ascii="Palatino Linotype" w:hAnsi="Palatino Linotype"/>
                <w:lang w:val="vi-VN"/>
              </w:rPr>
            </w:pPr>
            <w:r w:rsidRPr="00793AB8">
              <w:rPr>
                <w:rFonts w:ascii="Palatino Linotype" w:hAnsi="Palatino Linotype"/>
                <w:b/>
                <w:bCs/>
                <w:lang w:val="vi-VN"/>
              </w:rPr>
              <w:t>Giấy phép Xã hội để Hoạt động (Social License to Operate)</w:t>
            </w:r>
          </w:p>
        </w:tc>
        <w:tc>
          <w:tcPr>
            <w:tcW w:w="0" w:type="auto"/>
            <w:vAlign w:val="center"/>
            <w:hideMark/>
          </w:tcPr>
          <w:p w14:paraId="427E0A57"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"Quyền" tồn tại và phục vụ khách hàng của một công ty, được đảm bảo bằng cách giải quyết các yếu tố ngoại vi thông qua việc thực hiện các tiêu chí ESG.</w:t>
            </w:r>
          </w:p>
        </w:tc>
      </w:tr>
      <w:tr w:rsidR="00793AB8" w:rsidRPr="00793AB8" w14:paraId="02DB1C53" w14:textId="77777777" w:rsidTr="00793AB8">
        <w:tc>
          <w:tcPr>
            <w:tcW w:w="0" w:type="auto"/>
            <w:vAlign w:val="center"/>
            <w:hideMark/>
          </w:tcPr>
          <w:p w14:paraId="04BFEA62" w14:textId="77777777" w:rsidR="00793AB8" w:rsidRPr="00793AB8" w:rsidRDefault="00793AB8" w:rsidP="00793AB8">
            <w:pPr>
              <w:rPr>
                <w:rFonts w:ascii="Palatino Linotype" w:hAnsi="Palatino Linotype"/>
                <w:lang w:val="vi-VN"/>
              </w:rPr>
            </w:pPr>
            <w:r w:rsidRPr="00793AB8">
              <w:rPr>
                <w:rFonts w:ascii="Palatino Linotype" w:hAnsi="Palatino Linotype"/>
                <w:b/>
                <w:bCs/>
                <w:lang w:val="vi-VN"/>
              </w:rPr>
              <w:t>Kinh doanh Tuần hoàn (Circular Business)</w:t>
            </w:r>
          </w:p>
        </w:tc>
        <w:tc>
          <w:tcPr>
            <w:tcW w:w="0" w:type="auto"/>
            <w:vAlign w:val="center"/>
            <w:hideMark/>
          </w:tcPr>
          <w:p w14:paraId="518F55CB"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Một mô hình kinh doanh, như của Brambles, tạo điều kiện cho việc chia sẻ và tái sử dụng tài sản (ví dụ: pallet, container) để giảm thiểu chất thải và tác động đến môi trường.</w:t>
            </w:r>
          </w:p>
        </w:tc>
      </w:tr>
      <w:tr w:rsidR="00793AB8" w:rsidRPr="00793AB8" w14:paraId="2C6557C1" w14:textId="77777777" w:rsidTr="00793AB8">
        <w:tc>
          <w:tcPr>
            <w:tcW w:w="0" w:type="auto"/>
            <w:vAlign w:val="center"/>
            <w:hideMark/>
          </w:tcPr>
          <w:p w14:paraId="2ADA4BE2" w14:textId="77777777" w:rsidR="00793AB8" w:rsidRPr="00793AB8" w:rsidRDefault="00793AB8" w:rsidP="00793AB8">
            <w:pPr>
              <w:rPr>
                <w:rFonts w:ascii="Palatino Linotype" w:hAnsi="Palatino Linotype"/>
                <w:lang w:val="vi-VN"/>
              </w:rPr>
            </w:pPr>
            <w:r w:rsidRPr="00793AB8">
              <w:rPr>
                <w:rFonts w:ascii="Palatino Linotype" w:hAnsi="Palatino Linotype"/>
                <w:b/>
                <w:bCs/>
                <w:lang w:val="vi-VN"/>
              </w:rPr>
              <w:t>Phát thải Phạm vi 3 (Scope 3 emissions)</w:t>
            </w:r>
          </w:p>
        </w:tc>
        <w:tc>
          <w:tcPr>
            <w:tcW w:w="0" w:type="auto"/>
            <w:vAlign w:val="center"/>
            <w:hideMark/>
          </w:tcPr>
          <w:p w14:paraId="139DEBA2"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Các phát thải gián tiếp xảy ra trong chuỗi giá trị của một công ty. Trong một ví dụ, một giám đốc danh mục đã chọn một nhà cung cấp logistics có khả năng theo dõi các phát thải này.</w:t>
            </w:r>
          </w:p>
        </w:tc>
      </w:tr>
      <w:tr w:rsidR="00793AB8" w:rsidRPr="00793AB8" w14:paraId="2CEB05FC" w14:textId="77777777" w:rsidTr="00793AB8">
        <w:tc>
          <w:tcPr>
            <w:tcW w:w="0" w:type="auto"/>
            <w:vAlign w:val="center"/>
            <w:hideMark/>
          </w:tcPr>
          <w:p w14:paraId="46E45FE7" w14:textId="77777777" w:rsidR="00793AB8" w:rsidRPr="00793AB8" w:rsidRDefault="00793AB8" w:rsidP="00793AB8">
            <w:pPr>
              <w:rPr>
                <w:rFonts w:ascii="Palatino Linotype" w:hAnsi="Palatino Linotype"/>
                <w:lang w:val="vi-VN"/>
              </w:rPr>
            </w:pPr>
            <w:r w:rsidRPr="00793AB8">
              <w:rPr>
                <w:rFonts w:ascii="Palatino Linotype" w:hAnsi="Palatino Linotype"/>
                <w:b/>
                <w:bCs/>
                <w:lang w:val="vi-VN"/>
              </w:rPr>
              <w:t>Quản trị (Governance)</w:t>
            </w:r>
          </w:p>
        </w:tc>
        <w:tc>
          <w:tcPr>
            <w:tcW w:w="0" w:type="auto"/>
            <w:vAlign w:val="center"/>
            <w:hideMark/>
          </w:tcPr>
          <w:p w14:paraId="42400420" w14:textId="77777777" w:rsidR="00793AB8" w:rsidRPr="00793AB8" w:rsidRDefault="00793AB8" w:rsidP="00793AB8">
            <w:pPr>
              <w:rPr>
                <w:rFonts w:ascii="Palatino Linotype" w:hAnsi="Palatino Linotype"/>
                <w:lang w:val="vi-VN"/>
              </w:rPr>
            </w:pPr>
            <w:r w:rsidRPr="00793AB8">
              <w:rPr>
                <w:rFonts w:ascii="Palatino Linotype" w:hAnsi="Palatino Linotype"/>
                <w:lang w:val="vi-VN"/>
              </w:rPr>
              <w:t>Trụ cột ESG liên quan đến thời gian và chất lượng của việc ra quyết định, cơ cấu quản trị, phân bổ quyền và trách nhiệm giữa các nhóm bên liên quan khác nhau, và việc phục vụ tác động xã hội tích cực và giảm thiểu rủi ro.</w:t>
            </w:r>
          </w:p>
        </w:tc>
      </w:tr>
    </w:tbl>
    <w:p w14:paraId="6D561890" w14:textId="77777777" w:rsidR="00793AB8" w:rsidRPr="00793AB8" w:rsidRDefault="00793AB8">
      <w:pPr>
        <w:rPr>
          <w:rFonts w:ascii="Palatino Linotype" w:hAnsi="Palatino Linotype"/>
        </w:rPr>
      </w:pPr>
    </w:p>
    <w:sectPr w:rsidR="00793AB8" w:rsidRPr="00793AB8"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9027E6FA-551F-416D-9D20-1B1F3208A2EA}"/>
    <w:embedBold r:id="rId2" w:fontKey="{6C1AA5D4-63B2-48EA-A373-34FEFF9A3747}"/>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B8"/>
    <w:rsid w:val="00043159"/>
    <w:rsid w:val="000D76D2"/>
    <w:rsid w:val="00135354"/>
    <w:rsid w:val="001A4A8F"/>
    <w:rsid w:val="00226859"/>
    <w:rsid w:val="002B06EB"/>
    <w:rsid w:val="002C7714"/>
    <w:rsid w:val="002E11FF"/>
    <w:rsid w:val="00422BAE"/>
    <w:rsid w:val="00534847"/>
    <w:rsid w:val="005A7366"/>
    <w:rsid w:val="005D125A"/>
    <w:rsid w:val="005F1509"/>
    <w:rsid w:val="00616069"/>
    <w:rsid w:val="006B3A0E"/>
    <w:rsid w:val="006F6010"/>
    <w:rsid w:val="00793AB8"/>
    <w:rsid w:val="00826A98"/>
    <w:rsid w:val="00A1565C"/>
    <w:rsid w:val="00A565F2"/>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722E"/>
  <w15:chartTrackingRefBased/>
  <w15:docId w15:val="{9D5DA3B7-FE4E-4872-B1FB-2263C1F0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793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AB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93A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3A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3A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3A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3A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3A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793AB8"/>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793AB8"/>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793AB8"/>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793AB8"/>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793AB8"/>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793AB8"/>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793AB8"/>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793AB8"/>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793AB8"/>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793AB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93AB8"/>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793A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3AB8"/>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793AB8"/>
    <w:pPr>
      <w:ind w:left="720"/>
      <w:contextualSpacing/>
    </w:pPr>
  </w:style>
  <w:style w:type="character" w:styleId="IntenseEmphasis">
    <w:name w:val="Intense Emphasis"/>
    <w:basedOn w:val="DefaultParagraphFont"/>
    <w:uiPriority w:val="21"/>
    <w:qFormat/>
    <w:rsid w:val="00793AB8"/>
    <w:rPr>
      <w:i/>
      <w:iCs/>
      <w:color w:val="0F4761" w:themeColor="accent1" w:themeShade="BF"/>
    </w:rPr>
  </w:style>
  <w:style w:type="paragraph" w:styleId="IntenseQuote">
    <w:name w:val="Intense Quote"/>
    <w:basedOn w:val="Normal"/>
    <w:next w:val="Normal"/>
    <w:link w:val="IntenseQuoteChar"/>
    <w:uiPriority w:val="30"/>
    <w:qFormat/>
    <w:rsid w:val="00793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AB8"/>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793A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2025-12-10T11:08:00Z</dcterms:created>
  <dcterms:modified xsi:type="dcterms:W3CDTF">2025-12-10T11:10:00Z</dcterms:modified>
</cp:coreProperties>
</file>