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C14D" w14:textId="77777777" w:rsidR="00D75FCE" w:rsidRPr="00D75FCE" w:rsidRDefault="00D75FCE" w:rsidP="00D75FCE">
      <w:pPr>
        <w:jc w:val="both"/>
        <w:rPr>
          <w:rFonts w:ascii="Palatino Linotype" w:hAnsi="Palatino Linotype"/>
          <w:b/>
          <w:bCs/>
          <w:lang w:val="vi-VN"/>
        </w:rPr>
      </w:pPr>
      <w:r w:rsidRPr="00D75FCE">
        <w:rPr>
          <w:rFonts w:ascii="Palatino Linotype" w:hAnsi="Palatino Linotype"/>
          <w:b/>
          <w:bCs/>
          <w:lang w:val="vi-VN"/>
        </w:rPr>
        <w:t>How Can ESG Help Businesses?</w:t>
      </w:r>
    </w:p>
    <w:p w14:paraId="3DAE62D7" w14:textId="750BE721" w:rsidR="00D75FCE" w:rsidRPr="00D75FCE" w:rsidRDefault="00D75FCE" w:rsidP="00D75FCE">
      <w:pPr>
        <w:jc w:val="both"/>
        <w:rPr>
          <w:rFonts w:ascii="Palatino Linotype" w:hAnsi="Palatino Linotype"/>
          <w:lang w:val="vi-VN"/>
        </w:rPr>
      </w:pPr>
      <w:r w:rsidRPr="00D75FCE">
        <w:rPr>
          <w:rFonts w:ascii="Palatino Linotype" w:hAnsi="Palatino Linotype"/>
          <w:lang w:val="vi-VN"/>
        </w:rPr>
        <w:drawing>
          <wp:inline distT="0" distB="0" distL="0" distR="0" wp14:anchorId="4337C4E2" wp14:editId="7682690C">
            <wp:extent cx="6120765" cy="1657985"/>
            <wp:effectExtent l="0" t="0" r="0" b="0"/>
            <wp:docPr id="1012791337" name="Picture 8" descr="Decorative banner image that reads, &quot;How ESG can help business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corative banner image that reads, &quot;How ESG can help businesses&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6612B0F6" w14:textId="77777777" w:rsidR="00D75FCE" w:rsidRPr="00D75FCE" w:rsidRDefault="00D75FCE" w:rsidP="00D75FCE">
      <w:pPr>
        <w:jc w:val="both"/>
        <w:rPr>
          <w:rFonts w:ascii="Palatino Linotype" w:hAnsi="Palatino Linotype"/>
          <w:lang w:val="vi-VN"/>
        </w:rPr>
      </w:pPr>
      <w:r w:rsidRPr="00D75FCE">
        <w:rPr>
          <w:rFonts w:ascii="Palatino Linotype" w:hAnsi="Palatino Linotype"/>
          <w:lang w:val="vi-VN"/>
        </w:rPr>
        <w:t>ESG can help businesses by enhancing their reputation and brand value, attracting investors and customers, mitigating risks, fostering innovation, improving operational efficiency, and driving long-term sustainable growth and profitability. </w:t>
      </w:r>
    </w:p>
    <w:p w14:paraId="761BCBEB" w14:textId="77777777" w:rsidR="00D75FCE" w:rsidRPr="00D75FCE" w:rsidRDefault="00D75FCE" w:rsidP="00D75FCE">
      <w:pPr>
        <w:jc w:val="both"/>
        <w:rPr>
          <w:rFonts w:ascii="Palatino Linotype" w:hAnsi="Palatino Linotype"/>
          <w:b/>
          <w:bCs/>
          <w:lang w:val="vi-VN"/>
        </w:rPr>
      </w:pPr>
      <w:r w:rsidRPr="00D75FCE">
        <w:rPr>
          <w:rFonts w:ascii="Palatino Linotype" w:hAnsi="Palatino Linotype"/>
          <w:b/>
          <w:bCs/>
          <w:lang w:val="vi-VN"/>
        </w:rPr>
        <w:t>Establishing ESG Success</w:t>
      </w:r>
    </w:p>
    <w:p w14:paraId="236AEE8F" w14:textId="77777777" w:rsidR="00D75FCE" w:rsidRPr="00D75FCE" w:rsidRDefault="00D75FCE" w:rsidP="00D75FCE">
      <w:pPr>
        <w:jc w:val="both"/>
        <w:rPr>
          <w:rFonts w:ascii="Palatino Linotype" w:hAnsi="Palatino Linotype"/>
          <w:lang w:val="vi-VN"/>
        </w:rPr>
      </w:pPr>
      <w:r w:rsidRPr="00D75FCE">
        <w:rPr>
          <w:rFonts w:ascii="Palatino Linotype" w:hAnsi="Palatino Linotype"/>
          <w:lang w:val="vi-VN"/>
        </w:rPr>
        <w:t>There is no definitive answer to who the best ESG company is since different sources may use varying criteria, methods, and data to evaluate and rank companies based on their ESG performance. ESG is a broad concept, and establishing ESG success can be challenging. However, three globally recognized providers assess companies' ESG performance.</w:t>
      </w:r>
    </w:p>
    <w:p w14:paraId="584EA4E9" w14:textId="0F5BBCBA" w:rsidR="00D75FCE" w:rsidRPr="00D75FCE" w:rsidRDefault="00D75FCE" w:rsidP="00D75FCE">
      <w:pPr>
        <w:jc w:val="both"/>
        <w:rPr>
          <w:rFonts w:ascii="Palatino Linotype" w:hAnsi="Palatino Linotype"/>
          <w:lang w:val="vi-VN"/>
        </w:rPr>
      </w:pPr>
      <w:r w:rsidRPr="00D75FCE">
        <w:rPr>
          <w:rFonts w:ascii="Palatino Linotype" w:hAnsi="Palatino Linotype"/>
          <w:lang w:val="vi-VN"/>
        </w:rPr>
        <w:drawing>
          <wp:inline distT="0" distB="0" distL="0" distR="0" wp14:anchorId="4D88E0DA" wp14:editId="336CF867">
            <wp:extent cx="6120765" cy="1993900"/>
            <wp:effectExtent l="0" t="0" r="0" b="0"/>
            <wp:docPr id="123568937" name="Picture 7" descr="Decorative graphic with logos for 3 companies: Sustainalytics, MSCI, S&amp;P Global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corative graphic with logos for 3 companies: Sustainalytics, MSCI, S&amp;P Global Rating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765" cy="1993900"/>
                    </a:xfrm>
                    <a:prstGeom prst="rect">
                      <a:avLst/>
                    </a:prstGeom>
                    <a:noFill/>
                    <a:ln>
                      <a:noFill/>
                    </a:ln>
                  </pic:spPr>
                </pic:pic>
              </a:graphicData>
            </a:graphic>
          </wp:inline>
        </w:drawing>
      </w:r>
    </w:p>
    <w:p w14:paraId="5C196AFD" w14:textId="77777777" w:rsidR="00D75FCE" w:rsidRPr="00D75FCE" w:rsidRDefault="00D75FCE" w:rsidP="00D75FCE">
      <w:pPr>
        <w:numPr>
          <w:ilvl w:val="0"/>
          <w:numId w:val="1"/>
        </w:numPr>
        <w:jc w:val="both"/>
        <w:rPr>
          <w:rFonts w:ascii="Palatino Linotype" w:hAnsi="Palatino Linotype"/>
          <w:lang w:val="vi-VN"/>
        </w:rPr>
      </w:pPr>
      <w:r w:rsidRPr="00D75FCE">
        <w:rPr>
          <w:rFonts w:ascii="Palatino Linotype" w:hAnsi="Palatino Linotype"/>
          <w:b/>
          <w:bCs/>
          <w:lang w:val="vi-VN"/>
        </w:rPr>
        <w:t>Sustainalytics</w:t>
      </w:r>
      <w:r w:rsidRPr="00D75FCE">
        <w:rPr>
          <w:rFonts w:ascii="Palatino Linotype" w:hAnsi="Palatino Linotype"/>
          <w:lang w:val="vi-VN"/>
        </w:rPr>
        <w:t xml:space="preserve"> is a leading provider of ESG research, ratings, and data, helping investors and companies make informed sustainability decisions.</w:t>
      </w:r>
    </w:p>
    <w:p w14:paraId="562A5EC6" w14:textId="77777777" w:rsidR="00D75FCE" w:rsidRPr="00D75FCE" w:rsidRDefault="00D75FCE" w:rsidP="00D75FCE">
      <w:pPr>
        <w:numPr>
          <w:ilvl w:val="0"/>
          <w:numId w:val="1"/>
        </w:numPr>
        <w:jc w:val="both"/>
        <w:rPr>
          <w:rFonts w:ascii="Palatino Linotype" w:hAnsi="Palatino Linotype"/>
          <w:lang w:val="vi-VN"/>
        </w:rPr>
      </w:pPr>
      <w:r w:rsidRPr="00D75FCE">
        <w:rPr>
          <w:rFonts w:ascii="Palatino Linotype" w:hAnsi="Palatino Linotype"/>
          <w:b/>
          <w:bCs/>
          <w:lang w:val="vi-VN"/>
        </w:rPr>
        <w:lastRenderedPageBreak/>
        <w:t>MSCI</w:t>
      </w:r>
      <w:r w:rsidRPr="00D75FCE">
        <w:rPr>
          <w:rFonts w:ascii="Palatino Linotype" w:hAnsi="Palatino Linotype"/>
          <w:lang w:val="vi-VN"/>
        </w:rPr>
        <w:t xml:space="preserve"> is a renowned provider of ESG ratings, indexes, and analytics, offering insights for investors to integrate sustainability into their strategies.</w:t>
      </w:r>
    </w:p>
    <w:p w14:paraId="3282BD3A" w14:textId="77777777" w:rsidR="00D75FCE" w:rsidRPr="00D75FCE" w:rsidRDefault="00D75FCE" w:rsidP="00D75FCE">
      <w:pPr>
        <w:numPr>
          <w:ilvl w:val="0"/>
          <w:numId w:val="1"/>
        </w:numPr>
        <w:jc w:val="both"/>
        <w:rPr>
          <w:rFonts w:ascii="Palatino Linotype" w:hAnsi="Palatino Linotype"/>
          <w:lang w:val="vi-VN"/>
        </w:rPr>
      </w:pPr>
      <w:r w:rsidRPr="00D75FCE">
        <w:rPr>
          <w:rFonts w:ascii="Palatino Linotype" w:hAnsi="Palatino Linotype"/>
          <w:b/>
          <w:bCs/>
          <w:lang w:val="vi-VN"/>
        </w:rPr>
        <w:t>S&amp;P Global</w:t>
      </w:r>
      <w:r w:rsidRPr="00D75FCE">
        <w:rPr>
          <w:rFonts w:ascii="Palatino Linotype" w:hAnsi="Palatino Linotype"/>
          <w:lang w:val="vi-VN"/>
        </w:rPr>
        <w:t xml:space="preserve"> is a prominent provider of ESG data and ratings, supporting investors and companies in their sustainable investment decisions.</w:t>
      </w:r>
    </w:p>
    <w:p w14:paraId="5CA2381B" w14:textId="77777777" w:rsidR="00D75FCE" w:rsidRPr="00D75FCE" w:rsidRDefault="00D75FCE" w:rsidP="00D75FCE">
      <w:pPr>
        <w:jc w:val="both"/>
        <w:rPr>
          <w:rFonts w:ascii="Palatino Linotype" w:hAnsi="Palatino Linotype"/>
          <w:b/>
          <w:bCs/>
          <w:lang w:val="vi-VN"/>
        </w:rPr>
      </w:pPr>
      <w:r w:rsidRPr="00D75FCE">
        <w:rPr>
          <w:rFonts w:ascii="Palatino Linotype" w:hAnsi="Palatino Linotype"/>
          <w:b/>
          <w:bCs/>
          <w:lang w:val="vi-VN"/>
        </w:rPr>
        <w:t>Measuring the Value of ESG</w:t>
      </w:r>
    </w:p>
    <w:p w14:paraId="564F3C13" w14:textId="77777777" w:rsidR="00D75FCE" w:rsidRPr="00D75FCE" w:rsidRDefault="00D75FCE" w:rsidP="00D75FCE">
      <w:pPr>
        <w:jc w:val="both"/>
        <w:rPr>
          <w:rFonts w:ascii="Palatino Linotype" w:hAnsi="Palatino Linotype"/>
          <w:lang w:val="vi-VN"/>
        </w:rPr>
      </w:pPr>
      <w:r w:rsidRPr="00D75FCE">
        <w:rPr>
          <w:rFonts w:ascii="Palatino Linotype" w:hAnsi="Palatino Linotype"/>
          <w:lang w:val="vi-VN"/>
        </w:rPr>
        <w:t>One way to measure how well your organization is doing in regards to ESG, is to assess the environmental, social, and governance performance of companies with regard to risk. It allows for proactive risk management, informed decision-making, resource allocation, and building resilience.</w:t>
      </w:r>
    </w:p>
    <w:p w14:paraId="38C07DB1" w14:textId="0A92C8EA" w:rsidR="00D75FCE" w:rsidRPr="00D75FCE" w:rsidRDefault="00D75FCE" w:rsidP="00D75FCE">
      <w:pPr>
        <w:jc w:val="both"/>
        <w:rPr>
          <w:rFonts w:ascii="Palatino Linotype" w:hAnsi="Palatino Linotype"/>
          <w:lang w:val="vi-VN"/>
        </w:rPr>
      </w:pPr>
      <w:r w:rsidRPr="00D75FCE">
        <w:rPr>
          <w:rFonts w:ascii="Palatino Linotype" w:hAnsi="Palatino Linotype"/>
          <w:lang w:val="vi-VN"/>
        </w:rPr>
        <w:drawing>
          <wp:inline distT="0" distB="0" distL="0" distR="0" wp14:anchorId="1726E15E" wp14:editId="79AB15B7">
            <wp:extent cx="6120765" cy="2639695"/>
            <wp:effectExtent l="0" t="0" r="0" b="0"/>
            <wp:docPr id="738788048" name="Picture 6" descr="Decorative graphic showing a barometer highlighting low, medium, and high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corative graphic showing a barometer highlighting low, medium, and high ris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765" cy="2639695"/>
                    </a:xfrm>
                    <a:prstGeom prst="rect">
                      <a:avLst/>
                    </a:prstGeom>
                    <a:noFill/>
                    <a:ln>
                      <a:noFill/>
                    </a:ln>
                  </pic:spPr>
                </pic:pic>
              </a:graphicData>
            </a:graphic>
          </wp:inline>
        </w:drawing>
      </w:r>
    </w:p>
    <w:p w14:paraId="4BA2D281" w14:textId="77777777" w:rsidR="00D75FCE" w:rsidRPr="00D75FCE" w:rsidRDefault="00D75FCE" w:rsidP="00D75FCE">
      <w:pPr>
        <w:numPr>
          <w:ilvl w:val="0"/>
          <w:numId w:val="2"/>
        </w:numPr>
        <w:jc w:val="both"/>
        <w:rPr>
          <w:rFonts w:ascii="Palatino Linotype" w:hAnsi="Palatino Linotype"/>
          <w:lang w:val="vi-VN"/>
        </w:rPr>
      </w:pPr>
      <w:r w:rsidRPr="00D75FCE">
        <w:rPr>
          <w:rFonts w:ascii="Palatino Linotype" w:hAnsi="Palatino Linotype"/>
          <w:b/>
          <w:bCs/>
          <w:lang w:val="vi-VN"/>
        </w:rPr>
        <w:t>Low Risk</w:t>
      </w:r>
      <w:r w:rsidRPr="00D75FCE">
        <w:rPr>
          <w:rFonts w:ascii="Palatino Linotype" w:hAnsi="Palatino Linotype"/>
          <w:lang w:val="vi-VN"/>
        </w:rPr>
        <w:t>: Indicates that a company has demonstrated robust ESG practices by effectively managing risks and aligning with sustainable principles. Suggests that a company may have significant vulnerabilities and weaknesses in its ESG performance, potentially exposing it to reputational, regulatory, or operational risks.</w:t>
      </w:r>
    </w:p>
    <w:p w14:paraId="40728B96" w14:textId="77777777" w:rsidR="00D75FCE" w:rsidRPr="00D75FCE" w:rsidRDefault="00D75FCE" w:rsidP="00D75FCE">
      <w:pPr>
        <w:numPr>
          <w:ilvl w:val="0"/>
          <w:numId w:val="2"/>
        </w:numPr>
        <w:jc w:val="both"/>
        <w:rPr>
          <w:rFonts w:ascii="Palatino Linotype" w:hAnsi="Palatino Linotype"/>
          <w:lang w:val="vi-VN"/>
        </w:rPr>
      </w:pPr>
      <w:r w:rsidRPr="00D75FCE">
        <w:rPr>
          <w:rFonts w:ascii="Palatino Linotype" w:hAnsi="Palatino Linotype"/>
          <w:b/>
          <w:bCs/>
          <w:lang w:val="vi-VN"/>
        </w:rPr>
        <w:t>Medium Risk</w:t>
      </w:r>
      <w:r w:rsidRPr="00D75FCE">
        <w:rPr>
          <w:rFonts w:ascii="Palatino Linotype" w:hAnsi="Palatino Linotype"/>
          <w:lang w:val="vi-VN"/>
        </w:rPr>
        <w:t>: Indicates a moderate level of risk, with areas for improvement and potential risks that need attention.  </w:t>
      </w:r>
    </w:p>
    <w:p w14:paraId="0561C27A" w14:textId="77777777" w:rsidR="00D75FCE" w:rsidRPr="00D75FCE" w:rsidRDefault="00D75FCE" w:rsidP="00D75FCE">
      <w:pPr>
        <w:numPr>
          <w:ilvl w:val="0"/>
          <w:numId w:val="2"/>
        </w:numPr>
        <w:jc w:val="both"/>
        <w:rPr>
          <w:rFonts w:ascii="Palatino Linotype" w:hAnsi="Palatino Linotype"/>
          <w:lang w:val="vi-VN"/>
        </w:rPr>
      </w:pPr>
      <w:r w:rsidRPr="00D75FCE">
        <w:rPr>
          <w:rFonts w:ascii="Palatino Linotype" w:hAnsi="Palatino Linotype"/>
          <w:b/>
          <w:bCs/>
          <w:lang w:val="vi-VN"/>
        </w:rPr>
        <w:t>High Risk</w:t>
      </w:r>
      <w:r w:rsidRPr="00D75FCE">
        <w:rPr>
          <w:rFonts w:ascii="Palatino Linotype" w:hAnsi="Palatino Linotype"/>
          <w:lang w:val="vi-VN"/>
        </w:rPr>
        <w:t>: Suggests that a company may have significant vulnerabilities and weaknesses in its ESG performance, potentially exposing it to reputational, regulatory, or operational risks.</w:t>
      </w:r>
    </w:p>
    <w:p w14:paraId="126E72A7" w14:textId="77777777" w:rsidR="00D75FCE" w:rsidRPr="00D75FCE" w:rsidRDefault="00D75FCE" w:rsidP="00D75FCE">
      <w:pPr>
        <w:jc w:val="both"/>
        <w:rPr>
          <w:rFonts w:ascii="Palatino Linotype" w:hAnsi="Palatino Linotype"/>
          <w:b/>
          <w:bCs/>
          <w:lang w:val="vi-VN"/>
        </w:rPr>
      </w:pPr>
      <w:r w:rsidRPr="00D75FCE">
        <w:rPr>
          <w:rFonts w:ascii="Palatino Linotype" w:hAnsi="Palatino Linotype"/>
          <w:b/>
          <w:bCs/>
          <w:lang w:val="vi-VN"/>
        </w:rPr>
        <w:t>Measure Today to Improve Tomorrow</w:t>
      </w:r>
    </w:p>
    <w:p w14:paraId="32312A37" w14:textId="77777777" w:rsidR="00D75FCE" w:rsidRPr="00D75FCE" w:rsidRDefault="00D75FCE" w:rsidP="00D75FCE">
      <w:pPr>
        <w:jc w:val="both"/>
        <w:rPr>
          <w:rFonts w:ascii="Palatino Linotype" w:hAnsi="Palatino Linotype"/>
          <w:lang w:val="vi-VN"/>
        </w:rPr>
      </w:pPr>
      <w:r w:rsidRPr="00D75FCE">
        <w:rPr>
          <w:rFonts w:ascii="Palatino Linotype" w:hAnsi="Palatino Linotype"/>
          <w:lang w:val="vi-VN"/>
        </w:rPr>
        <w:t>Measuring ESG progress is important because it provides a comprehensive assessment of a company's environmental, social, and governance performance. It helps track performance, identify areas for improvement, enhance transparency, build stakeholder trust, and align with sustainable business practices.</w:t>
      </w:r>
    </w:p>
    <w:p w14:paraId="232D46A4" w14:textId="77777777" w:rsidR="00D75FCE" w:rsidRPr="00D75FCE" w:rsidRDefault="00D75FCE" w:rsidP="00D75FCE">
      <w:pPr>
        <w:jc w:val="both"/>
        <w:rPr>
          <w:rFonts w:ascii="Palatino Linotype" w:hAnsi="Palatino Linotype"/>
          <w:lang w:val="vi-VN"/>
        </w:rPr>
      </w:pPr>
      <w:r w:rsidRPr="00D75FCE">
        <w:rPr>
          <w:rFonts w:ascii="Palatino Linotype" w:hAnsi="Palatino Linotype"/>
          <w:lang w:val="vi-VN"/>
        </w:rPr>
        <w:t>Measuring performance in terms of ESG enables us to identify gaps and vulnerabilities, empowering us to make improvements. It's important to note that even the most pioneering ESG organizations are committed to continuous improvement and consistently review their progress.  </w:t>
      </w:r>
    </w:p>
    <w:p w14:paraId="1AFBC012" w14:textId="25D2DC9C" w:rsidR="00D75FCE" w:rsidRPr="00D75FCE" w:rsidRDefault="00D75FCE" w:rsidP="00D75FCE">
      <w:pPr>
        <w:jc w:val="both"/>
        <w:rPr>
          <w:rFonts w:ascii="Palatino Linotype" w:hAnsi="Palatino Linotype"/>
          <w:lang w:val="vi-VN"/>
        </w:rPr>
      </w:pPr>
      <w:r w:rsidRPr="00D75FCE">
        <w:rPr>
          <w:rFonts w:ascii="Palatino Linotype" w:hAnsi="Palatino Linotype"/>
          <w:lang w:val="vi-VN"/>
        </w:rPr>
        <w:drawing>
          <wp:inline distT="0" distB="0" distL="0" distR="0" wp14:anchorId="49A08247" wp14:editId="6AE1F619">
            <wp:extent cx="6120765" cy="2063750"/>
            <wp:effectExtent l="0" t="0" r="0" b="0"/>
            <wp:docPr id="630363182" name="Picture 5" descr="Graphic with logos for three companies: Tesla, Unilever, Patago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raphic with logos for three companies: Tesla, Unilever, Patagon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765" cy="2063750"/>
                    </a:xfrm>
                    <a:prstGeom prst="rect">
                      <a:avLst/>
                    </a:prstGeom>
                    <a:noFill/>
                    <a:ln>
                      <a:noFill/>
                    </a:ln>
                  </pic:spPr>
                </pic:pic>
              </a:graphicData>
            </a:graphic>
          </wp:inline>
        </w:drawing>
      </w:r>
    </w:p>
    <w:p w14:paraId="470438BF" w14:textId="77777777" w:rsidR="00D75FCE" w:rsidRPr="00D75FCE" w:rsidRDefault="00D75FCE" w:rsidP="00D75FCE">
      <w:pPr>
        <w:numPr>
          <w:ilvl w:val="0"/>
          <w:numId w:val="3"/>
        </w:numPr>
        <w:jc w:val="both"/>
        <w:rPr>
          <w:rFonts w:ascii="Palatino Linotype" w:hAnsi="Palatino Linotype"/>
          <w:lang w:val="vi-VN"/>
        </w:rPr>
      </w:pPr>
      <w:r w:rsidRPr="00D75FCE">
        <w:rPr>
          <w:rFonts w:ascii="Palatino Linotype" w:hAnsi="Palatino Linotype"/>
          <w:b/>
          <w:bCs/>
          <w:lang w:val="vi-VN"/>
        </w:rPr>
        <w:t>Tesla</w:t>
      </w:r>
      <w:r w:rsidRPr="00D75FCE">
        <w:rPr>
          <w:rFonts w:ascii="Palatino Linotype" w:hAnsi="Palatino Linotype"/>
          <w:lang w:val="vi-VN"/>
        </w:rPr>
        <w:t xml:space="preserve"> has actively worked on addressing supply chain transparency, reducing its carbon footprint, and improving labor practices.</w:t>
      </w:r>
    </w:p>
    <w:p w14:paraId="0801D8CC" w14:textId="77777777" w:rsidR="00D75FCE" w:rsidRPr="00D75FCE" w:rsidRDefault="00D75FCE" w:rsidP="00D75FCE">
      <w:pPr>
        <w:numPr>
          <w:ilvl w:val="0"/>
          <w:numId w:val="3"/>
        </w:numPr>
        <w:jc w:val="both"/>
        <w:rPr>
          <w:rFonts w:ascii="Palatino Linotype" w:hAnsi="Palatino Linotype"/>
          <w:lang w:val="vi-VN"/>
        </w:rPr>
      </w:pPr>
      <w:r w:rsidRPr="00D75FCE">
        <w:rPr>
          <w:rFonts w:ascii="Palatino Linotype" w:hAnsi="Palatino Linotype"/>
          <w:b/>
          <w:bCs/>
          <w:lang w:val="vi-VN"/>
        </w:rPr>
        <w:t>Unilever</w:t>
      </w:r>
      <w:r w:rsidRPr="00D75FCE">
        <w:rPr>
          <w:rFonts w:ascii="Palatino Linotype" w:hAnsi="Palatino Linotype"/>
          <w:lang w:val="vi-VN"/>
        </w:rPr>
        <w:t xml:space="preserve"> announced ambitious goals to achieve a deforestation-free supply chain, reduce greenhouse gas emissions, and enhance the livelihoods of millions of people.</w:t>
      </w:r>
    </w:p>
    <w:p w14:paraId="49E6C2AE" w14:textId="77777777" w:rsidR="00D75FCE" w:rsidRPr="00D75FCE" w:rsidRDefault="00D75FCE" w:rsidP="00D75FCE">
      <w:pPr>
        <w:numPr>
          <w:ilvl w:val="0"/>
          <w:numId w:val="3"/>
        </w:numPr>
        <w:jc w:val="both"/>
        <w:rPr>
          <w:rFonts w:ascii="Palatino Linotype" w:hAnsi="Palatino Linotype"/>
          <w:lang w:val="vi-VN"/>
        </w:rPr>
      </w:pPr>
      <w:r w:rsidRPr="00D75FCE">
        <w:rPr>
          <w:rFonts w:ascii="Palatino Linotype" w:hAnsi="Palatino Linotype"/>
          <w:b/>
          <w:bCs/>
          <w:lang w:val="vi-VN"/>
        </w:rPr>
        <w:t>Patagonia</w:t>
      </w:r>
      <w:r w:rsidRPr="00D75FCE">
        <w:rPr>
          <w:rFonts w:ascii="Palatino Linotype" w:hAnsi="Palatino Linotype"/>
          <w:lang w:val="vi-VN"/>
        </w:rPr>
        <w:t xml:space="preserve"> has consistently challenged itself to do better. It is currently looking at how it can collaborate with other companies, even competitors, on initiatives that would decrease the environmental footprint of the industry, particularly when it comes to carbon emissions.</w:t>
      </w:r>
    </w:p>
    <w:p w14:paraId="1B319859" w14:textId="77777777" w:rsidR="00CF4886" w:rsidRPr="00D75FCE" w:rsidRDefault="00CF4886" w:rsidP="00D75FCE">
      <w:pPr>
        <w:jc w:val="both"/>
        <w:rPr>
          <w:rFonts w:ascii="Palatino Linotype" w:hAnsi="Palatino Linotype"/>
        </w:rPr>
      </w:pPr>
    </w:p>
    <w:sectPr w:rsidR="00CF4886" w:rsidRPr="00D75FCE"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026F7966-D941-409D-ADC5-A92806DE81F0}"/>
    <w:embedBold r:id="rId2" w:fontKey="{3E444388-18B6-417F-9DD7-E460301FFD73}"/>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231E4"/>
    <w:multiLevelType w:val="multilevel"/>
    <w:tmpl w:val="706A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C237D2"/>
    <w:multiLevelType w:val="multilevel"/>
    <w:tmpl w:val="498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4277022"/>
    <w:multiLevelType w:val="multilevel"/>
    <w:tmpl w:val="53C0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3912419">
    <w:abstractNumId w:val="0"/>
  </w:num>
  <w:num w:numId="2" w16cid:durableId="416096173">
    <w:abstractNumId w:val="1"/>
  </w:num>
  <w:num w:numId="3" w16cid:durableId="1068957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FCE"/>
    <w:rsid w:val="00043159"/>
    <w:rsid w:val="000D76D2"/>
    <w:rsid w:val="00135354"/>
    <w:rsid w:val="001A4A8F"/>
    <w:rsid w:val="00226859"/>
    <w:rsid w:val="002B06EB"/>
    <w:rsid w:val="002C7714"/>
    <w:rsid w:val="002E11FF"/>
    <w:rsid w:val="00422BAE"/>
    <w:rsid w:val="00534847"/>
    <w:rsid w:val="005A7366"/>
    <w:rsid w:val="005D125A"/>
    <w:rsid w:val="005F1509"/>
    <w:rsid w:val="006B3A0E"/>
    <w:rsid w:val="006F6010"/>
    <w:rsid w:val="00826A98"/>
    <w:rsid w:val="00A1565C"/>
    <w:rsid w:val="00A565F2"/>
    <w:rsid w:val="00A731E6"/>
    <w:rsid w:val="00AC2453"/>
    <w:rsid w:val="00B22B23"/>
    <w:rsid w:val="00B47B94"/>
    <w:rsid w:val="00BF6FCA"/>
    <w:rsid w:val="00C17186"/>
    <w:rsid w:val="00C85D61"/>
    <w:rsid w:val="00CA3E8F"/>
    <w:rsid w:val="00CF4886"/>
    <w:rsid w:val="00D2217E"/>
    <w:rsid w:val="00D46560"/>
    <w:rsid w:val="00D75FCE"/>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C542F"/>
  <w15:chartTrackingRefBased/>
  <w15:docId w15:val="{7D095DD7-967E-434F-B217-9A01C4BC8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D75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FC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75F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75F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75F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5F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5F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5F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D75FCE"/>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D75FCE"/>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D75FCE"/>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D75FCE"/>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D75FCE"/>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D75FCE"/>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D75FCE"/>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D75FCE"/>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D75FCE"/>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D75FCE"/>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75FCE"/>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D75F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5FCE"/>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D75FCE"/>
    <w:pPr>
      <w:ind w:left="720"/>
      <w:contextualSpacing/>
    </w:pPr>
  </w:style>
  <w:style w:type="character" w:styleId="IntenseEmphasis">
    <w:name w:val="Intense Emphasis"/>
    <w:basedOn w:val="DefaultParagraphFont"/>
    <w:uiPriority w:val="21"/>
    <w:qFormat/>
    <w:rsid w:val="00D75FCE"/>
    <w:rPr>
      <w:i/>
      <w:iCs/>
      <w:color w:val="0F4761" w:themeColor="accent1" w:themeShade="BF"/>
    </w:rPr>
  </w:style>
  <w:style w:type="paragraph" w:styleId="IntenseQuote">
    <w:name w:val="Intense Quote"/>
    <w:basedOn w:val="Normal"/>
    <w:next w:val="Normal"/>
    <w:link w:val="IntenseQuoteChar"/>
    <w:uiPriority w:val="30"/>
    <w:qFormat/>
    <w:rsid w:val="00D75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FCE"/>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D75F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2025-12-10T09:28:00Z</dcterms:created>
  <dcterms:modified xsi:type="dcterms:W3CDTF">2025-12-10T09:29:00Z</dcterms:modified>
</cp:coreProperties>
</file>