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66AD" w14:textId="77777777" w:rsidR="006B6169" w:rsidRPr="006B6169" w:rsidRDefault="006B6169" w:rsidP="006B6169">
      <w:pPr>
        <w:jc w:val="both"/>
        <w:rPr>
          <w:rFonts w:ascii="Palatino Linotype" w:hAnsi="Palatino Linotype"/>
          <w:b/>
          <w:bCs/>
          <w:sz w:val="32"/>
          <w:szCs w:val="24"/>
          <w:lang w:val="vi-VN"/>
        </w:rPr>
      </w:pPr>
      <w:r w:rsidRPr="006B6169">
        <w:rPr>
          <w:rFonts w:ascii="Palatino Linotype" w:hAnsi="Palatino Linotype"/>
          <w:b/>
          <w:bCs/>
          <w:sz w:val="32"/>
          <w:szCs w:val="24"/>
          <w:lang w:val="vi-VN"/>
        </w:rPr>
        <w:t>Individual Barriers to ESG Adoption</w:t>
      </w:r>
    </w:p>
    <w:p w14:paraId="6559F98D" w14:textId="17F0A993" w:rsidR="006B6169" w:rsidRPr="006B6169" w:rsidRDefault="006B6169" w:rsidP="006B6169">
      <w:pPr>
        <w:jc w:val="both"/>
        <w:rPr>
          <w:rFonts w:ascii="Palatino Linotype" w:hAnsi="Palatino Linotype"/>
          <w:lang w:val="vi-VN"/>
        </w:rPr>
      </w:pPr>
      <w:r w:rsidRPr="006B6169">
        <w:rPr>
          <w:rFonts w:ascii="Palatino Linotype" w:hAnsi="Palatino Linotype"/>
          <w:lang w:val="vi-VN"/>
        </w:rPr>
        <w:drawing>
          <wp:inline distT="0" distB="0" distL="0" distR="0" wp14:anchorId="4E5173B8" wp14:editId="5C41E302">
            <wp:extent cx="6120765" cy="1657985"/>
            <wp:effectExtent l="0" t="0" r="0" b="0"/>
            <wp:docPr id="1056862354" name="Picture 4" descr="Decorative banner image that reads, &quot;Challenges for individual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 that reads, &quot;Challenges for individuals&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47C775FB" w14:textId="77777777" w:rsidR="006B6169" w:rsidRPr="006B6169" w:rsidRDefault="006B6169" w:rsidP="006B6169">
      <w:pPr>
        <w:jc w:val="both"/>
        <w:rPr>
          <w:rFonts w:ascii="Palatino Linotype" w:hAnsi="Palatino Linotype"/>
          <w:lang w:val="vi-VN"/>
        </w:rPr>
      </w:pPr>
      <w:r w:rsidRPr="006B6169">
        <w:rPr>
          <w:rFonts w:ascii="Palatino Linotype" w:hAnsi="Palatino Linotype"/>
          <w:lang w:val="vi-VN"/>
        </w:rPr>
        <w:t>Challenges or obstacles that prevent individuals from adopting or integrating ESG criteria into their personal or professional decision-making include: </w:t>
      </w:r>
    </w:p>
    <w:p w14:paraId="4A05FD44" w14:textId="77777777" w:rsidR="006B6169" w:rsidRPr="006B6169" w:rsidRDefault="006B6169" w:rsidP="006B6169">
      <w:pPr>
        <w:numPr>
          <w:ilvl w:val="0"/>
          <w:numId w:val="1"/>
        </w:numPr>
        <w:jc w:val="both"/>
        <w:rPr>
          <w:rFonts w:ascii="Palatino Linotype" w:hAnsi="Palatino Linotype"/>
          <w:lang w:val="vi-VN"/>
        </w:rPr>
      </w:pPr>
      <w:r w:rsidRPr="006B6169">
        <w:rPr>
          <w:rFonts w:ascii="Palatino Linotype" w:hAnsi="Palatino Linotype"/>
          <w:b/>
          <w:bCs/>
          <w:lang w:val="vi-VN"/>
        </w:rPr>
        <w:t>Lack of awareness or knowledge</w:t>
      </w:r>
      <w:r w:rsidRPr="006B6169">
        <w:rPr>
          <w:rFonts w:ascii="Palatino Linotype" w:hAnsi="Palatino Linotype"/>
          <w:lang w:val="vi-VN"/>
        </w:rPr>
        <w:t>. They may not be aware of the importance or relevance of ESG issues, or may not have sufficient information or education to understand them. This may limit their ability to assess the ESG performance or impact of their choices, such as investments, consumption, or career. </w:t>
      </w:r>
    </w:p>
    <w:p w14:paraId="62D206CC" w14:textId="77777777" w:rsidR="006B6169" w:rsidRPr="006B6169" w:rsidRDefault="006B6169" w:rsidP="006B6169">
      <w:pPr>
        <w:numPr>
          <w:ilvl w:val="0"/>
          <w:numId w:val="1"/>
        </w:numPr>
        <w:jc w:val="both"/>
        <w:rPr>
          <w:rFonts w:ascii="Palatino Linotype" w:hAnsi="Palatino Linotype"/>
          <w:lang w:val="vi-VN"/>
        </w:rPr>
      </w:pPr>
      <w:r w:rsidRPr="006B6169">
        <w:rPr>
          <w:rFonts w:ascii="Palatino Linotype" w:hAnsi="Palatino Linotype"/>
          <w:b/>
          <w:bCs/>
          <w:lang w:val="vi-VN"/>
        </w:rPr>
        <w:t>Lack of trust or credibility</w:t>
      </w:r>
      <w:r w:rsidRPr="006B6169">
        <w:rPr>
          <w:rFonts w:ascii="Palatino Linotype" w:hAnsi="Palatino Linotype"/>
          <w:lang w:val="vi-VN"/>
        </w:rPr>
        <w:t>. They may not trust the sources or quality of ESG data or may doubt the credibility or authenticity of ESG claims or disclosures by organizations. This may reduce their confidence or motivation to engage with ESG issues or initiatives.  </w:t>
      </w:r>
    </w:p>
    <w:p w14:paraId="2E5BABEF" w14:textId="77777777" w:rsidR="006B6169" w:rsidRPr="006B6169" w:rsidRDefault="006B6169" w:rsidP="006B6169">
      <w:pPr>
        <w:numPr>
          <w:ilvl w:val="0"/>
          <w:numId w:val="1"/>
        </w:numPr>
        <w:jc w:val="both"/>
        <w:rPr>
          <w:rFonts w:ascii="Palatino Linotype" w:hAnsi="Palatino Linotype"/>
          <w:lang w:val="vi-VN"/>
        </w:rPr>
      </w:pPr>
      <w:r w:rsidRPr="006B6169">
        <w:rPr>
          <w:rFonts w:ascii="Palatino Linotype" w:hAnsi="Palatino Linotype"/>
          <w:b/>
          <w:bCs/>
          <w:lang w:val="vi-VN"/>
        </w:rPr>
        <w:t>Lack of incentives or alignment</w:t>
      </w:r>
      <w:r w:rsidRPr="006B6169">
        <w:rPr>
          <w:rFonts w:ascii="Palatino Linotype" w:hAnsi="Palatino Linotype"/>
          <w:lang w:val="vi-VN"/>
        </w:rPr>
        <w:t>. They may not perceive any personal benefits or rewards from adopting or integrating ESG criteria or may face conflicting incentives or pressures that discourage them from doing so. For example, they may prioritize financial returns over social or environmental outcomes, or they may face social norms or expectations that are not aligned with ESG values.  </w:t>
      </w:r>
    </w:p>
    <w:p w14:paraId="0DDFB1EA" w14:textId="77777777" w:rsidR="006B6169" w:rsidRPr="006B6169" w:rsidRDefault="006B6169" w:rsidP="006B6169">
      <w:pPr>
        <w:numPr>
          <w:ilvl w:val="0"/>
          <w:numId w:val="1"/>
        </w:numPr>
        <w:jc w:val="both"/>
        <w:rPr>
          <w:rFonts w:ascii="Palatino Linotype" w:hAnsi="Palatino Linotype"/>
          <w:lang w:val="vi-VN"/>
        </w:rPr>
      </w:pPr>
      <w:r w:rsidRPr="006B6169">
        <w:rPr>
          <w:rFonts w:ascii="Palatino Linotype" w:hAnsi="Palatino Linotype"/>
          <w:b/>
          <w:bCs/>
          <w:lang w:val="vi-VN"/>
        </w:rPr>
        <w:t>Lack of access or opportunity</w:t>
      </w:r>
      <w:r w:rsidRPr="006B6169">
        <w:rPr>
          <w:rFonts w:ascii="Palatino Linotype" w:hAnsi="Palatino Linotype"/>
          <w:lang w:val="vi-VN"/>
        </w:rPr>
        <w:t>. They may not have access to the resources, tools, products, services, or platforms that enable them to adopt or integrate ESG criteria. For example, they may face barriers in terms of affordability, availability, convenience, diversity, or quality of ESG options.  </w:t>
      </w:r>
    </w:p>
    <w:p w14:paraId="59B9196D" w14:textId="77777777" w:rsidR="006B6169" w:rsidRPr="006B6169" w:rsidRDefault="006B6169" w:rsidP="006B6169">
      <w:pPr>
        <w:jc w:val="both"/>
        <w:rPr>
          <w:rFonts w:ascii="Palatino Linotype" w:hAnsi="Palatino Linotype"/>
          <w:b/>
          <w:bCs/>
          <w:lang w:val="vi-VN"/>
        </w:rPr>
      </w:pPr>
      <w:r w:rsidRPr="006B6169">
        <w:rPr>
          <w:rFonts w:ascii="Palatino Linotype" w:hAnsi="Palatino Linotype"/>
          <w:b/>
          <w:bCs/>
          <w:lang w:val="vi-VN"/>
        </w:rPr>
        <w:lastRenderedPageBreak/>
        <w:t>Understanding the Individual's Role</w:t>
      </w:r>
    </w:p>
    <w:p w14:paraId="2D114603" w14:textId="77777777" w:rsidR="006B6169" w:rsidRPr="006B6169" w:rsidRDefault="006B6169" w:rsidP="006B6169">
      <w:pPr>
        <w:jc w:val="both"/>
        <w:rPr>
          <w:rFonts w:ascii="Palatino Linotype" w:hAnsi="Palatino Linotype"/>
          <w:lang w:val="vi-VN"/>
        </w:rPr>
      </w:pPr>
      <w:r w:rsidRPr="006B6169">
        <w:rPr>
          <w:rFonts w:ascii="Palatino Linotype" w:hAnsi="Palatino Linotype"/>
          <w:lang w:val="vi-VN"/>
        </w:rPr>
        <w:t>The role of the individual in ESG varies depending on the context and perspective. Individuals can be any (or all) of the following:  </w:t>
      </w:r>
    </w:p>
    <w:p w14:paraId="0AB7ABA6" w14:textId="77777777" w:rsidR="006B6169" w:rsidRPr="006B6169" w:rsidRDefault="006B6169" w:rsidP="006B6169">
      <w:pPr>
        <w:numPr>
          <w:ilvl w:val="0"/>
          <w:numId w:val="2"/>
        </w:numPr>
        <w:jc w:val="both"/>
        <w:rPr>
          <w:rFonts w:ascii="Palatino Linotype" w:hAnsi="Palatino Linotype"/>
          <w:lang w:val="vi-VN"/>
        </w:rPr>
      </w:pPr>
      <w:r w:rsidRPr="006B6169">
        <w:rPr>
          <w:rFonts w:ascii="Palatino Linotype" w:hAnsi="Palatino Linotype"/>
          <w:b/>
          <w:bCs/>
          <w:lang w:val="vi-VN"/>
        </w:rPr>
        <w:t>Employee.</w:t>
      </w:r>
      <w:r w:rsidRPr="006B6169">
        <w:rPr>
          <w:rFonts w:ascii="Palatino Linotype" w:hAnsi="Palatino Linotype"/>
          <w:lang w:val="vi-VN"/>
        </w:rPr>
        <w:t xml:space="preserve"> As an employee, the individual contributes to ESG by aligning their work with the organization's vision and purpose for ESG, participating in ESG initiatives and innovation, and providing feedback and suggestions for improvement.  </w:t>
      </w:r>
    </w:p>
    <w:p w14:paraId="4340A884" w14:textId="77777777" w:rsidR="006B6169" w:rsidRPr="006B6169" w:rsidRDefault="006B6169" w:rsidP="006B6169">
      <w:pPr>
        <w:numPr>
          <w:ilvl w:val="0"/>
          <w:numId w:val="2"/>
        </w:numPr>
        <w:jc w:val="both"/>
        <w:rPr>
          <w:rFonts w:ascii="Palatino Linotype" w:hAnsi="Palatino Linotype"/>
          <w:lang w:val="vi-VN"/>
        </w:rPr>
      </w:pPr>
      <w:r w:rsidRPr="006B6169">
        <w:rPr>
          <w:rFonts w:ascii="Palatino Linotype" w:hAnsi="Palatino Linotype"/>
          <w:b/>
          <w:bCs/>
          <w:lang w:val="vi-VN"/>
        </w:rPr>
        <w:t>Customer.</w:t>
      </w:r>
      <w:r w:rsidRPr="006B6169">
        <w:rPr>
          <w:rFonts w:ascii="Palatino Linotype" w:hAnsi="Palatino Linotype"/>
          <w:lang w:val="vi-VN"/>
        </w:rPr>
        <w:t xml:space="preserve"> As a customer, they influence ESG by choosing products and services that meet their ESG expectations and values, expressing their preferences and opinions to the companies they buy from, and supporting companies that demonstrate ESG leadership.  </w:t>
      </w:r>
    </w:p>
    <w:p w14:paraId="228DA60C" w14:textId="77777777" w:rsidR="006B6169" w:rsidRPr="006B6169" w:rsidRDefault="006B6169" w:rsidP="006B6169">
      <w:pPr>
        <w:numPr>
          <w:ilvl w:val="0"/>
          <w:numId w:val="2"/>
        </w:numPr>
        <w:jc w:val="both"/>
        <w:rPr>
          <w:rFonts w:ascii="Palatino Linotype" w:hAnsi="Palatino Linotype"/>
          <w:lang w:val="vi-VN"/>
        </w:rPr>
      </w:pPr>
      <w:r w:rsidRPr="006B6169">
        <w:rPr>
          <w:rFonts w:ascii="Palatino Linotype" w:hAnsi="Palatino Linotype"/>
          <w:b/>
          <w:bCs/>
          <w:lang w:val="vi-VN"/>
        </w:rPr>
        <w:t>Citizen.</w:t>
      </w:r>
      <w:r w:rsidRPr="006B6169">
        <w:rPr>
          <w:rFonts w:ascii="Palatino Linotype" w:hAnsi="Palatino Linotype"/>
          <w:lang w:val="vi-VN"/>
        </w:rPr>
        <w:t xml:space="preserve"> Citizens shape ESG by being aware of the environmental, social, and governance impacts of their actions and choices, supporting policies and regulations that promote ESG goals, and joining or creating movements and communities that advance ESG causes. The individual is, therefore, both a stakeholder and an agent of change in ESG.</w:t>
      </w:r>
    </w:p>
    <w:p w14:paraId="2F27E8E3" w14:textId="77777777" w:rsidR="006B6169" w:rsidRPr="006B6169" w:rsidRDefault="006B6169" w:rsidP="006B6169">
      <w:pPr>
        <w:numPr>
          <w:ilvl w:val="0"/>
          <w:numId w:val="2"/>
        </w:numPr>
        <w:jc w:val="both"/>
        <w:rPr>
          <w:rFonts w:ascii="Palatino Linotype" w:hAnsi="Palatino Linotype"/>
          <w:lang w:val="vi-VN"/>
        </w:rPr>
      </w:pPr>
      <w:r w:rsidRPr="006B6169">
        <w:rPr>
          <w:rFonts w:ascii="Palatino Linotype" w:hAnsi="Palatino Linotype"/>
          <w:b/>
          <w:bCs/>
          <w:lang w:val="vi-VN"/>
        </w:rPr>
        <w:t>Investor.</w:t>
      </w:r>
      <w:r w:rsidRPr="006B6169">
        <w:rPr>
          <w:rFonts w:ascii="Palatino Linotype" w:hAnsi="Palatino Linotype"/>
          <w:lang w:val="vi-VN"/>
        </w:rPr>
        <w:t xml:space="preserve"> As an investor, the individual drives ESG by incorporating ESG criteria and metrics into their investment decisions, engaging with the businesses they invest in to monitor and improve their ESG performance, and advocating for more transparency and accountability on ESG issues.  </w:t>
      </w:r>
    </w:p>
    <w:p w14:paraId="291E0DBB" w14:textId="77777777" w:rsidR="006B6169" w:rsidRPr="006B6169" w:rsidRDefault="006B6169" w:rsidP="006B6169">
      <w:pPr>
        <w:jc w:val="both"/>
        <w:rPr>
          <w:rFonts w:ascii="Palatino Linotype" w:hAnsi="Palatino Linotype"/>
          <w:b/>
          <w:bCs/>
          <w:lang w:val="vi-VN"/>
        </w:rPr>
      </w:pPr>
      <w:r w:rsidRPr="006B6169">
        <w:rPr>
          <w:rFonts w:ascii="Palatino Linotype" w:hAnsi="Palatino Linotype"/>
          <w:b/>
          <w:bCs/>
          <w:lang w:val="vi-VN"/>
        </w:rPr>
        <w:t>Understanding the Impact of ESG on Workflow</w:t>
      </w:r>
    </w:p>
    <w:p w14:paraId="01017A6E" w14:textId="35AB73F1" w:rsidR="006B6169" w:rsidRPr="006B6169" w:rsidRDefault="006B6169" w:rsidP="006B6169">
      <w:pPr>
        <w:jc w:val="both"/>
        <w:rPr>
          <w:rFonts w:ascii="Palatino Linotype" w:hAnsi="Palatino Linotype"/>
          <w:lang w:val="vi-VN"/>
        </w:rPr>
      </w:pPr>
      <w:r w:rsidRPr="006B6169">
        <w:rPr>
          <w:rFonts w:ascii="Palatino Linotype" w:hAnsi="Palatino Linotype"/>
          <w:lang w:val="vi-VN"/>
        </w:rPr>
        <w:drawing>
          <wp:inline distT="0" distB="0" distL="0" distR="0" wp14:anchorId="25D127D9" wp14:editId="563F7A41">
            <wp:extent cx="6120765" cy="1657985"/>
            <wp:effectExtent l="0" t="0" r="0" b="0"/>
            <wp:docPr id="596012202" name="Picture 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30C289FB" w14:textId="77777777" w:rsidR="006B6169" w:rsidRPr="006B6169" w:rsidRDefault="006B6169" w:rsidP="006B6169">
      <w:pPr>
        <w:jc w:val="both"/>
        <w:rPr>
          <w:rFonts w:ascii="Palatino Linotype" w:hAnsi="Palatino Linotype"/>
          <w:lang w:val="vi-VN"/>
        </w:rPr>
      </w:pPr>
      <w:r w:rsidRPr="006B6169">
        <w:rPr>
          <w:rFonts w:ascii="Palatino Linotype" w:hAnsi="Palatino Linotype"/>
          <w:lang w:val="vi-VN"/>
        </w:rPr>
        <w:t>ESG affects the daily workflow in different ways. For example, it:</w:t>
      </w:r>
    </w:p>
    <w:p w14:paraId="3234289E"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Sets and tracks </w:t>
      </w:r>
      <w:r w:rsidRPr="006B6169">
        <w:rPr>
          <w:rFonts w:ascii="Palatino Linotype" w:hAnsi="Palatino Linotype"/>
          <w:b/>
          <w:bCs/>
          <w:lang w:val="vi-VN"/>
        </w:rPr>
        <w:t>goals and metrics</w:t>
      </w:r>
      <w:r w:rsidRPr="006B6169">
        <w:rPr>
          <w:rFonts w:ascii="Palatino Linotype" w:hAnsi="Palatino Linotype"/>
          <w:lang w:val="vi-VN"/>
        </w:rPr>
        <w:t> that align with the company's ESG strategy and values.</w:t>
      </w:r>
    </w:p>
    <w:p w14:paraId="160710DA"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Conducts </w:t>
      </w:r>
      <w:r w:rsidRPr="006B6169">
        <w:rPr>
          <w:rFonts w:ascii="Palatino Linotype" w:hAnsi="Palatino Linotype"/>
          <w:b/>
          <w:bCs/>
          <w:lang w:val="vi-VN"/>
        </w:rPr>
        <w:t>assessments and surveys</w:t>
      </w:r>
      <w:r w:rsidRPr="006B6169">
        <w:rPr>
          <w:rFonts w:ascii="Palatino Linotype" w:hAnsi="Palatino Linotype"/>
          <w:lang w:val="vi-VN"/>
        </w:rPr>
        <w:t> to evaluate the company's performance and impact on ESG criteria.</w:t>
      </w:r>
    </w:p>
    <w:p w14:paraId="281E360E"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Maps ESG </w:t>
      </w:r>
      <w:r w:rsidRPr="006B6169">
        <w:rPr>
          <w:rFonts w:ascii="Palatino Linotype" w:hAnsi="Palatino Linotype"/>
          <w:b/>
          <w:bCs/>
          <w:lang w:val="vi-VN"/>
        </w:rPr>
        <w:t>data and requirements</w:t>
      </w:r>
      <w:r w:rsidRPr="006B6169">
        <w:rPr>
          <w:rFonts w:ascii="Palatino Linotype" w:hAnsi="Palatino Linotype"/>
          <w:lang w:val="vi-VN"/>
        </w:rPr>
        <w:t> to relevant standards, frameworks, and regulations.</w:t>
      </w:r>
    </w:p>
    <w:p w14:paraId="2A0C716B"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Identifies and manages ESG </w:t>
      </w:r>
      <w:r w:rsidRPr="006B6169">
        <w:rPr>
          <w:rFonts w:ascii="Palatino Linotype" w:hAnsi="Palatino Linotype"/>
          <w:b/>
          <w:bCs/>
          <w:lang w:val="vi-VN"/>
        </w:rPr>
        <w:t>risks and opportunities</w:t>
      </w:r>
      <w:r w:rsidRPr="006B6169">
        <w:rPr>
          <w:rFonts w:ascii="Palatino Linotype" w:hAnsi="Palatino Linotype"/>
          <w:lang w:val="vi-VN"/>
        </w:rPr>
        <w:t> using data-driven insights and analytics.</w:t>
      </w:r>
    </w:p>
    <w:p w14:paraId="3A67EC27"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Reports and discloses ESG information to internal and external stakeholders using dynamic and customizable </w:t>
      </w:r>
      <w:r w:rsidRPr="006B6169">
        <w:rPr>
          <w:rFonts w:ascii="Palatino Linotype" w:hAnsi="Palatino Linotype"/>
          <w:b/>
          <w:bCs/>
          <w:lang w:val="vi-VN"/>
        </w:rPr>
        <w:t>dashboards and reports</w:t>
      </w:r>
      <w:r w:rsidRPr="006B6169">
        <w:rPr>
          <w:rFonts w:ascii="Palatino Linotype" w:hAnsi="Palatino Linotype"/>
          <w:lang w:val="vi-VN"/>
        </w:rPr>
        <w:t>.</w:t>
      </w:r>
    </w:p>
    <w:p w14:paraId="3FDB60EF" w14:textId="77777777" w:rsidR="006B6169" w:rsidRPr="006B6169" w:rsidRDefault="006B6169" w:rsidP="006B6169">
      <w:pPr>
        <w:numPr>
          <w:ilvl w:val="0"/>
          <w:numId w:val="3"/>
        </w:numPr>
        <w:jc w:val="both"/>
        <w:rPr>
          <w:rFonts w:ascii="Palatino Linotype" w:hAnsi="Palatino Linotype"/>
          <w:lang w:val="vi-VN"/>
        </w:rPr>
      </w:pPr>
      <w:r w:rsidRPr="006B6169">
        <w:rPr>
          <w:rFonts w:ascii="Palatino Linotype" w:hAnsi="Palatino Linotype"/>
          <w:lang w:val="vi-VN"/>
        </w:rPr>
        <w:t>Involves </w:t>
      </w:r>
      <w:r w:rsidRPr="006B6169">
        <w:rPr>
          <w:rFonts w:ascii="Palatino Linotype" w:hAnsi="Palatino Linotype"/>
          <w:b/>
          <w:bCs/>
          <w:lang w:val="vi-VN"/>
        </w:rPr>
        <w:t>collaboration and communication</w:t>
      </w:r>
      <w:r w:rsidRPr="006B6169">
        <w:rPr>
          <w:rFonts w:ascii="Palatino Linotype" w:hAnsi="Palatino Linotype"/>
          <w:lang w:val="vi-VN"/>
        </w:rPr>
        <w:t> with ESG teams and partners using workflows and platforms that facilitate transparency and accountability.  </w:t>
      </w:r>
    </w:p>
    <w:p w14:paraId="5E227B00" w14:textId="77777777" w:rsidR="006B6169" w:rsidRPr="006B6169" w:rsidRDefault="006B6169" w:rsidP="006B6169">
      <w:pPr>
        <w:jc w:val="both"/>
        <w:rPr>
          <w:rFonts w:ascii="Palatino Linotype" w:hAnsi="Palatino Linotype"/>
          <w:lang w:val="vi-VN"/>
        </w:rPr>
      </w:pPr>
      <w:r w:rsidRPr="006B6169">
        <w:rPr>
          <w:rFonts w:ascii="Palatino Linotype" w:hAnsi="Palatino Linotype"/>
          <w:lang w:val="vi-VN"/>
        </w:rPr>
        <w:t>Incorporating ESG into the daily workflow allows companies to not only improve their efficiency, effectiveness, and reputation on ESG matters, but also create value for themselves and their stakeholders by addressing ESG challenges and opportunities in a proactive and systematic way.  </w:t>
      </w:r>
    </w:p>
    <w:p w14:paraId="62C1F074" w14:textId="77777777" w:rsidR="00CF4886" w:rsidRPr="006B6169" w:rsidRDefault="00CF4886" w:rsidP="006B6169">
      <w:pPr>
        <w:jc w:val="both"/>
        <w:rPr>
          <w:rFonts w:ascii="Palatino Linotype" w:hAnsi="Palatino Linotype"/>
        </w:rPr>
      </w:pPr>
    </w:p>
    <w:sectPr w:rsidR="00CF4886" w:rsidRPr="006B6169"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50E70639-60D8-44A7-8341-9765E0C7558B}"/>
    <w:embedBold r:id="rId2" w:fontKey="{DBDC4243-E419-443E-A5C7-C3F694EB8921}"/>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6221"/>
    <w:multiLevelType w:val="multilevel"/>
    <w:tmpl w:val="8B2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5C5FFE"/>
    <w:multiLevelType w:val="multilevel"/>
    <w:tmpl w:val="9AE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A17327"/>
    <w:multiLevelType w:val="multilevel"/>
    <w:tmpl w:val="E3EC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4967085">
    <w:abstractNumId w:val="2"/>
  </w:num>
  <w:num w:numId="2" w16cid:durableId="140004090">
    <w:abstractNumId w:val="1"/>
  </w:num>
  <w:num w:numId="3" w16cid:durableId="98042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69"/>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B6169"/>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5C1D"/>
  <w15:chartTrackingRefBased/>
  <w15:docId w15:val="{78F5E889-5D4A-4440-9E66-6B50E7EE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6B6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16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B61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61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61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61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61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61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6B6169"/>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6B6169"/>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6B6169"/>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6B6169"/>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6B6169"/>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6B6169"/>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6B6169"/>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6B6169"/>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6B6169"/>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6B616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B6169"/>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6B61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169"/>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6B6169"/>
    <w:pPr>
      <w:ind w:left="720"/>
      <w:contextualSpacing/>
    </w:pPr>
  </w:style>
  <w:style w:type="character" w:styleId="IntenseEmphasis">
    <w:name w:val="Intense Emphasis"/>
    <w:basedOn w:val="DefaultParagraphFont"/>
    <w:uiPriority w:val="21"/>
    <w:qFormat/>
    <w:rsid w:val="006B6169"/>
    <w:rPr>
      <w:i/>
      <w:iCs/>
      <w:color w:val="0F4761" w:themeColor="accent1" w:themeShade="BF"/>
    </w:rPr>
  </w:style>
  <w:style w:type="paragraph" w:styleId="IntenseQuote">
    <w:name w:val="Intense Quote"/>
    <w:basedOn w:val="Normal"/>
    <w:next w:val="Normal"/>
    <w:link w:val="IntenseQuoteChar"/>
    <w:uiPriority w:val="30"/>
    <w:qFormat/>
    <w:rsid w:val="006B6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169"/>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6B6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2025-12-10T09:34:00Z</dcterms:created>
  <dcterms:modified xsi:type="dcterms:W3CDTF">2025-12-10T09:36:00Z</dcterms:modified>
</cp:coreProperties>
</file>