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31A83" w14:textId="77777777" w:rsidR="001E7B62" w:rsidRPr="001E7B62" w:rsidRDefault="001E7B62" w:rsidP="001E7B62">
      <w:pPr>
        <w:jc w:val="both"/>
        <w:rPr>
          <w:b/>
          <w:bCs/>
          <w:sz w:val="32"/>
          <w:szCs w:val="24"/>
          <w:lang w:val="vi-VN"/>
        </w:rPr>
      </w:pPr>
      <w:r w:rsidRPr="001E7B62">
        <w:rPr>
          <w:b/>
          <w:bCs/>
          <w:sz w:val="32"/>
          <w:szCs w:val="24"/>
          <w:lang w:val="vi-VN"/>
        </w:rPr>
        <w:t>Organizational Challenges in Implementing ESG</w:t>
      </w:r>
    </w:p>
    <w:p w14:paraId="6ECCC989" w14:textId="218BEB22" w:rsidR="001E7B62" w:rsidRPr="001E7B62" w:rsidRDefault="001E7B62" w:rsidP="001E7B62">
      <w:pPr>
        <w:jc w:val="both"/>
        <w:rPr>
          <w:lang w:val="vi-VN"/>
        </w:rPr>
      </w:pPr>
      <w:r w:rsidRPr="001E7B62">
        <w:rPr>
          <w:lang w:val="vi-VN"/>
        </w:rPr>
        <w:drawing>
          <wp:inline distT="0" distB="0" distL="0" distR="0" wp14:anchorId="0D3E2737" wp14:editId="6B4B1C09">
            <wp:extent cx="6120765" cy="1657985"/>
            <wp:effectExtent l="0" t="0" r="0" b="0"/>
            <wp:docPr id="1335587414" name="Picture 2" descr="Decorative banner image that reads, &quot;Challenges for organization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corative banner image that reads, &quot;Challenges for organizations&quo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20765" cy="1657985"/>
                    </a:xfrm>
                    <a:prstGeom prst="rect">
                      <a:avLst/>
                    </a:prstGeom>
                    <a:noFill/>
                    <a:ln>
                      <a:noFill/>
                    </a:ln>
                  </pic:spPr>
                </pic:pic>
              </a:graphicData>
            </a:graphic>
          </wp:inline>
        </w:drawing>
      </w:r>
    </w:p>
    <w:p w14:paraId="415C8495" w14:textId="77777777" w:rsidR="001E7B62" w:rsidRPr="001E7B62" w:rsidRDefault="001E7B62" w:rsidP="001E7B62">
      <w:pPr>
        <w:jc w:val="both"/>
        <w:rPr>
          <w:lang w:val="vi-VN"/>
        </w:rPr>
      </w:pPr>
      <w:r w:rsidRPr="001E7B62">
        <w:rPr>
          <w:lang w:val="vi-VN"/>
        </w:rPr>
        <w:t>It takes specialized skills and knowledge to assess, prioritize, scope, and plan ESG initiatives, and to communicate them effectively to internal and external stakeholders. Without these, the organization’s capacity for or quality of ESG implementation will be limited.  </w:t>
      </w:r>
    </w:p>
    <w:p w14:paraId="15570CB1" w14:textId="77777777" w:rsidR="001E7B62" w:rsidRPr="001E7B62" w:rsidRDefault="001E7B62" w:rsidP="001E7B62">
      <w:pPr>
        <w:jc w:val="both"/>
        <w:rPr>
          <w:b/>
          <w:bCs/>
          <w:lang w:val="vi-VN"/>
        </w:rPr>
      </w:pPr>
      <w:r w:rsidRPr="001E7B62">
        <w:rPr>
          <w:b/>
          <w:bCs/>
          <w:lang w:val="vi-VN"/>
        </w:rPr>
        <w:t>Silos</w:t>
      </w:r>
    </w:p>
    <w:p w14:paraId="5647C4E1" w14:textId="77777777" w:rsidR="001E7B62" w:rsidRDefault="001E7B62" w:rsidP="001E7B62">
      <w:pPr>
        <w:jc w:val="both"/>
      </w:pPr>
      <w:r w:rsidRPr="001E7B62">
        <w:rPr>
          <w:lang w:val="vi-VN"/>
        </w:rPr>
        <w:t>Siloed organizational structures are structures that separate employees into individual groups based on their functions, expertise, or geography. They have both advantages and disadvantages.</w:t>
      </w:r>
    </w:p>
    <w:p w14:paraId="5B48CD88" w14:textId="5B3BC974" w:rsidR="001E7B62" w:rsidRPr="001E7B62" w:rsidRDefault="001E7B62" w:rsidP="001E7B62">
      <w:pPr>
        <w:sectPr w:rsidR="001E7B62" w:rsidRPr="001E7B62" w:rsidSect="00C85D61">
          <w:headerReference w:type="even" r:id="rId9"/>
          <w:headerReference w:type="default" r:id="rId10"/>
          <w:footerReference w:type="even" r:id="rId11"/>
          <w:footerReference w:type="default" r:id="rId12"/>
          <w:headerReference w:type="first" r:id="rId13"/>
          <w:footerReference w:type="first" r:id="rId14"/>
          <w:pgSz w:w="11907" w:h="16840" w:code="9"/>
          <w:pgMar w:top="1701" w:right="1134" w:bottom="1134" w:left="1134" w:header="0" w:footer="0" w:gutter="0"/>
          <w:cols w:space="708"/>
          <w:docGrid w:linePitch="360"/>
        </w:sectPr>
      </w:pPr>
      <w:r w:rsidRPr="001E7B62">
        <w:rPr>
          <w:lang w:val="vi-VN"/>
        </w:rPr>
        <w:t>Explore whether a feature is an advantage or a disadvantage in the table below</w:t>
      </w:r>
      <w:r>
        <w:t>.</w:t>
      </w:r>
    </w:p>
    <w:tbl>
      <w:tblPr>
        <w:tblW w:w="141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36"/>
        <w:gridCol w:w="2445"/>
        <w:gridCol w:w="5386"/>
      </w:tblGrid>
      <w:tr w:rsidR="001E7B62" w:rsidRPr="001E7B62" w14:paraId="47C1AD99" w14:textId="77777777" w:rsidTr="00D22419">
        <w:trPr>
          <w:tblHeader/>
        </w:trPr>
        <w:tc>
          <w:tcPr>
            <w:tcW w:w="6336" w:type="dxa"/>
            <w:tcMar>
              <w:top w:w="60" w:type="dxa"/>
              <w:left w:w="240" w:type="dxa"/>
              <w:bottom w:w="60" w:type="dxa"/>
              <w:right w:w="240" w:type="dxa"/>
            </w:tcMar>
            <w:hideMark/>
          </w:tcPr>
          <w:p w14:paraId="4A29ABDC" w14:textId="77777777" w:rsidR="001E7B62" w:rsidRPr="001E7B62" w:rsidRDefault="001E7B62" w:rsidP="001E7B62">
            <w:pPr>
              <w:jc w:val="both"/>
              <w:rPr>
                <w:b/>
                <w:bCs/>
                <w:lang w:val="vi-VN"/>
              </w:rPr>
            </w:pPr>
            <w:r w:rsidRPr="001E7B62">
              <w:rPr>
                <w:b/>
                <w:bCs/>
                <w:lang w:val="vi-VN"/>
              </w:rPr>
              <w:lastRenderedPageBreak/>
              <w:t>Feature</w:t>
            </w:r>
          </w:p>
        </w:tc>
        <w:tc>
          <w:tcPr>
            <w:tcW w:w="2445" w:type="dxa"/>
            <w:tcMar>
              <w:top w:w="60" w:type="dxa"/>
              <w:left w:w="240" w:type="dxa"/>
              <w:bottom w:w="60" w:type="dxa"/>
              <w:right w:w="240" w:type="dxa"/>
            </w:tcMar>
            <w:hideMark/>
          </w:tcPr>
          <w:p w14:paraId="3BB2E55F" w14:textId="77777777" w:rsidR="001E7B62" w:rsidRPr="001E7B62" w:rsidRDefault="001E7B62" w:rsidP="001E7B62">
            <w:pPr>
              <w:jc w:val="both"/>
              <w:rPr>
                <w:b/>
                <w:bCs/>
                <w:lang w:val="vi-VN"/>
              </w:rPr>
            </w:pPr>
            <w:r w:rsidRPr="001E7B62">
              <w:rPr>
                <w:b/>
                <w:bCs/>
                <w:lang w:val="vi-VN"/>
              </w:rPr>
              <w:t>Advantage or Disadvantage</w:t>
            </w:r>
          </w:p>
        </w:tc>
        <w:tc>
          <w:tcPr>
            <w:tcW w:w="5386" w:type="dxa"/>
            <w:tcMar>
              <w:top w:w="60" w:type="dxa"/>
              <w:left w:w="240" w:type="dxa"/>
              <w:bottom w:w="60" w:type="dxa"/>
              <w:right w:w="240" w:type="dxa"/>
            </w:tcMar>
            <w:hideMark/>
          </w:tcPr>
          <w:p w14:paraId="59164E2B" w14:textId="77777777" w:rsidR="001E7B62" w:rsidRPr="001E7B62" w:rsidRDefault="001E7B62" w:rsidP="001E7B62">
            <w:pPr>
              <w:jc w:val="both"/>
              <w:rPr>
                <w:b/>
                <w:bCs/>
                <w:lang w:val="vi-VN"/>
              </w:rPr>
            </w:pPr>
            <w:r w:rsidRPr="001E7B62">
              <w:rPr>
                <w:b/>
                <w:bCs/>
                <w:lang w:val="vi-VN"/>
              </w:rPr>
              <w:t>Rationale</w:t>
            </w:r>
          </w:p>
        </w:tc>
      </w:tr>
      <w:tr w:rsidR="001E7B62" w:rsidRPr="001E7B62" w14:paraId="48EAC3AE" w14:textId="77777777" w:rsidTr="00D22419">
        <w:tc>
          <w:tcPr>
            <w:tcW w:w="6336" w:type="dxa"/>
            <w:tcMar>
              <w:top w:w="60" w:type="dxa"/>
              <w:left w:w="240" w:type="dxa"/>
              <w:bottom w:w="60" w:type="dxa"/>
              <w:right w:w="240" w:type="dxa"/>
            </w:tcMar>
            <w:hideMark/>
          </w:tcPr>
          <w:p w14:paraId="6C2DA896" w14:textId="77777777" w:rsidR="001E7B62" w:rsidRPr="001E7B62" w:rsidRDefault="001E7B62" w:rsidP="001E7B62">
            <w:pPr>
              <w:jc w:val="both"/>
              <w:rPr>
                <w:lang w:val="vi-VN"/>
              </w:rPr>
            </w:pPr>
            <w:r w:rsidRPr="001E7B62">
              <w:rPr>
                <w:lang w:val="vi-VN"/>
              </w:rPr>
              <w:t>Provide focus and direction for each group to develop specialized capabilities and drive performance.</w:t>
            </w:r>
          </w:p>
        </w:tc>
        <w:tc>
          <w:tcPr>
            <w:tcW w:w="2445" w:type="dxa"/>
            <w:tcMar>
              <w:top w:w="60" w:type="dxa"/>
              <w:left w:w="240" w:type="dxa"/>
              <w:bottom w:w="60" w:type="dxa"/>
              <w:right w:w="240" w:type="dxa"/>
            </w:tcMar>
            <w:hideMark/>
          </w:tcPr>
          <w:p w14:paraId="2EA972D0" w14:textId="77777777" w:rsidR="001E7B62" w:rsidRPr="001E7B62" w:rsidRDefault="001E7B62" w:rsidP="001E7B62">
            <w:pPr>
              <w:jc w:val="both"/>
              <w:rPr>
                <w:lang w:val="vi-VN"/>
              </w:rPr>
            </w:pPr>
            <w:r w:rsidRPr="001E7B62">
              <w:rPr>
                <w:lang w:val="vi-VN"/>
              </w:rPr>
              <w:t>Advantage</w:t>
            </w:r>
          </w:p>
        </w:tc>
        <w:tc>
          <w:tcPr>
            <w:tcW w:w="5386" w:type="dxa"/>
            <w:tcMar>
              <w:top w:w="60" w:type="dxa"/>
              <w:left w:w="240" w:type="dxa"/>
              <w:bottom w:w="60" w:type="dxa"/>
              <w:right w:w="240" w:type="dxa"/>
            </w:tcMar>
            <w:hideMark/>
          </w:tcPr>
          <w:p w14:paraId="35A653D4" w14:textId="77777777" w:rsidR="001E7B62" w:rsidRPr="001E7B62" w:rsidRDefault="001E7B62" w:rsidP="001E7B62">
            <w:pPr>
              <w:jc w:val="both"/>
              <w:rPr>
                <w:lang w:val="vi-VN"/>
              </w:rPr>
            </w:pPr>
            <w:r w:rsidRPr="001E7B62">
              <w:rPr>
                <w:lang w:val="vi-VN"/>
              </w:rPr>
              <w:t>Supports skill specialization and enhances group efficiency toward achieving specific ESG goals.</w:t>
            </w:r>
          </w:p>
        </w:tc>
      </w:tr>
      <w:tr w:rsidR="001E7B62" w:rsidRPr="001E7B62" w14:paraId="0E428DCB" w14:textId="77777777" w:rsidTr="00D22419">
        <w:tc>
          <w:tcPr>
            <w:tcW w:w="6336" w:type="dxa"/>
            <w:tcMar>
              <w:top w:w="60" w:type="dxa"/>
              <w:left w:w="240" w:type="dxa"/>
              <w:bottom w:w="60" w:type="dxa"/>
              <w:right w:w="240" w:type="dxa"/>
            </w:tcMar>
            <w:hideMark/>
          </w:tcPr>
          <w:p w14:paraId="7161D7FA" w14:textId="77777777" w:rsidR="001E7B62" w:rsidRPr="001E7B62" w:rsidRDefault="001E7B62" w:rsidP="001E7B62">
            <w:pPr>
              <w:jc w:val="both"/>
              <w:rPr>
                <w:lang w:val="vi-VN"/>
              </w:rPr>
            </w:pPr>
            <w:r w:rsidRPr="001E7B62">
              <w:rPr>
                <w:lang w:val="vi-VN"/>
              </w:rPr>
              <w:t>Assign accountability and responsibility for each group's goals and outcomes.</w:t>
            </w:r>
          </w:p>
        </w:tc>
        <w:tc>
          <w:tcPr>
            <w:tcW w:w="2445" w:type="dxa"/>
            <w:tcMar>
              <w:top w:w="60" w:type="dxa"/>
              <w:left w:w="240" w:type="dxa"/>
              <w:bottom w:w="60" w:type="dxa"/>
              <w:right w:w="240" w:type="dxa"/>
            </w:tcMar>
            <w:hideMark/>
          </w:tcPr>
          <w:p w14:paraId="51A795FE" w14:textId="77777777" w:rsidR="001E7B62" w:rsidRPr="001E7B62" w:rsidRDefault="001E7B62" w:rsidP="001E7B62">
            <w:pPr>
              <w:jc w:val="both"/>
              <w:rPr>
                <w:lang w:val="vi-VN"/>
              </w:rPr>
            </w:pPr>
            <w:r w:rsidRPr="001E7B62">
              <w:rPr>
                <w:lang w:val="vi-VN"/>
              </w:rPr>
              <w:t>Advantage</w:t>
            </w:r>
          </w:p>
        </w:tc>
        <w:tc>
          <w:tcPr>
            <w:tcW w:w="5386" w:type="dxa"/>
            <w:tcMar>
              <w:top w:w="60" w:type="dxa"/>
              <w:left w:w="240" w:type="dxa"/>
              <w:bottom w:w="60" w:type="dxa"/>
              <w:right w:w="240" w:type="dxa"/>
            </w:tcMar>
            <w:hideMark/>
          </w:tcPr>
          <w:p w14:paraId="25321B00" w14:textId="77777777" w:rsidR="001E7B62" w:rsidRPr="001E7B62" w:rsidRDefault="001E7B62" w:rsidP="001E7B62">
            <w:pPr>
              <w:jc w:val="both"/>
              <w:rPr>
                <w:lang w:val="vi-VN"/>
              </w:rPr>
            </w:pPr>
            <w:r w:rsidRPr="001E7B62">
              <w:rPr>
                <w:lang w:val="vi-VN"/>
              </w:rPr>
              <w:t>Clarifies roles, fostering ownership and motivating groups to meet their ESG objectives.</w:t>
            </w:r>
          </w:p>
        </w:tc>
      </w:tr>
      <w:tr w:rsidR="001E7B62" w:rsidRPr="001E7B62" w14:paraId="6C3EF304" w14:textId="77777777" w:rsidTr="00D22419">
        <w:tc>
          <w:tcPr>
            <w:tcW w:w="6336" w:type="dxa"/>
            <w:tcMar>
              <w:top w:w="60" w:type="dxa"/>
              <w:left w:w="240" w:type="dxa"/>
              <w:bottom w:w="60" w:type="dxa"/>
              <w:right w:w="240" w:type="dxa"/>
            </w:tcMar>
            <w:hideMark/>
          </w:tcPr>
          <w:p w14:paraId="2A466077" w14:textId="77777777" w:rsidR="001E7B62" w:rsidRPr="001E7B62" w:rsidRDefault="001E7B62" w:rsidP="001E7B62">
            <w:pPr>
              <w:jc w:val="both"/>
              <w:rPr>
                <w:lang w:val="vi-VN"/>
              </w:rPr>
            </w:pPr>
            <w:r w:rsidRPr="001E7B62">
              <w:rPr>
                <w:lang w:val="vi-VN"/>
              </w:rPr>
              <w:t>Inhibit collaboration and communication across groups, leading to duplication of efforts, inefficiencies, or conflicts.</w:t>
            </w:r>
          </w:p>
        </w:tc>
        <w:tc>
          <w:tcPr>
            <w:tcW w:w="2445" w:type="dxa"/>
            <w:tcMar>
              <w:top w:w="60" w:type="dxa"/>
              <w:left w:w="240" w:type="dxa"/>
              <w:bottom w:w="60" w:type="dxa"/>
              <w:right w:w="240" w:type="dxa"/>
            </w:tcMar>
            <w:hideMark/>
          </w:tcPr>
          <w:p w14:paraId="68EF8627" w14:textId="77777777" w:rsidR="001E7B62" w:rsidRPr="001E7B62" w:rsidRDefault="001E7B62" w:rsidP="001E7B62">
            <w:pPr>
              <w:jc w:val="both"/>
              <w:rPr>
                <w:lang w:val="vi-VN"/>
              </w:rPr>
            </w:pPr>
            <w:r w:rsidRPr="001E7B62">
              <w:rPr>
                <w:lang w:val="vi-VN"/>
              </w:rPr>
              <w:t>Disadvantage</w:t>
            </w:r>
          </w:p>
        </w:tc>
        <w:tc>
          <w:tcPr>
            <w:tcW w:w="5386" w:type="dxa"/>
            <w:tcMar>
              <w:top w:w="60" w:type="dxa"/>
              <w:left w:w="240" w:type="dxa"/>
              <w:bottom w:w="60" w:type="dxa"/>
              <w:right w:w="240" w:type="dxa"/>
            </w:tcMar>
            <w:hideMark/>
          </w:tcPr>
          <w:p w14:paraId="47FA669A" w14:textId="77777777" w:rsidR="001E7B62" w:rsidRPr="001E7B62" w:rsidRDefault="001E7B62" w:rsidP="001E7B62">
            <w:pPr>
              <w:jc w:val="both"/>
              <w:rPr>
                <w:lang w:val="vi-VN"/>
              </w:rPr>
            </w:pPr>
            <w:r w:rsidRPr="001E7B62">
              <w:rPr>
                <w:lang w:val="vi-VN"/>
              </w:rPr>
              <w:t>Limits synergy, increasing risks of redundant work and conflicting ESG initiatives.</w:t>
            </w:r>
          </w:p>
        </w:tc>
      </w:tr>
      <w:tr w:rsidR="001E7B62" w:rsidRPr="001E7B62" w14:paraId="7371B883" w14:textId="77777777" w:rsidTr="00D22419">
        <w:tc>
          <w:tcPr>
            <w:tcW w:w="6336" w:type="dxa"/>
            <w:tcMar>
              <w:top w:w="60" w:type="dxa"/>
              <w:left w:w="240" w:type="dxa"/>
              <w:bottom w:w="60" w:type="dxa"/>
              <w:right w:w="240" w:type="dxa"/>
            </w:tcMar>
            <w:hideMark/>
          </w:tcPr>
          <w:p w14:paraId="45FDCED3" w14:textId="77777777" w:rsidR="001E7B62" w:rsidRPr="001E7B62" w:rsidRDefault="001E7B62" w:rsidP="001E7B62">
            <w:pPr>
              <w:jc w:val="both"/>
              <w:rPr>
                <w:lang w:val="vi-VN"/>
              </w:rPr>
            </w:pPr>
            <w:r w:rsidRPr="001E7B62">
              <w:rPr>
                <w:lang w:val="vi-VN"/>
              </w:rPr>
              <w:t>Limit sharing of knowledge, best practices, and innovation across groups, reducing the potential for learning and improvement.</w:t>
            </w:r>
          </w:p>
        </w:tc>
        <w:tc>
          <w:tcPr>
            <w:tcW w:w="2445" w:type="dxa"/>
            <w:tcMar>
              <w:top w:w="60" w:type="dxa"/>
              <w:left w:w="240" w:type="dxa"/>
              <w:bottom w:w="60" w:type="dxa"/>
              <w:right w:w="240" w:type="dxa"/>
            </w:tcMar>
            <w:hideMark/>
          </w:tcPr>
          <w:p w14:paraId="34F43D8F" w14:textId="77777777" w:rsidR="001E7B62" w:rsidRPr="001E7B62" w:rsidRDefault="001E7B62" w:rsidP="001E7B62">
            <w:pPr>
              <w:jc w:val="both"/>
              <w:rPr>
                <w:lang w:val="vi-VN"/>
              </w:rPr>
            </w:pPr>
            <w:r w:rsidRPr="001E7B62">
              <w:rPr>
                <w:lang w:val="vi-VN"/>
              </w:rPr>
              <w:t>Disadvantage</w:t>
            </w:r>
          </w:p>
        </w:tc>
        <w:tc>
          <w:tcPr>
            <w:tcW w:w="5386" w:type="dxa"/>
            <w:tcMar>
              <w:top w:w="60" w:type="dxa"/>
              <w:left w:w="240" w:type="dxa"/>
              <w:bottom w:w="60" w:type="dxa"/>
              <w:right w:w="240" w:type="dxa"/>
            </w:tcMar>
            <w:hideMark/>
          </w:tcPr>
          <w:p w14:paraId="18EA66AD" w14:textId="77777777" w:rsidR="001E7B62" w:rsidRPr="001E7B62" w:rsidRDefault="001E7B62" w:rsidP="001E7B62">
            <w:pPr>
              <w:jc w:val="both"/>
              <w:rPr>
                <w:lang w:val="vi-VN"/>
              </w:rPr>
            </w:pPr>
            <w:r w:rsidRPr="001E7B62">
              <w:rPr>
                <w:lang w:val="vi-VN"/>
              </w:rPr>
              <w:t>Restricts access to shared insights, potentially stalling collective progress and innovation in ESG practices.</w:t>
            </w:r>
          </w:p>
        </w:tc>
      </w:tr>
      <w:tr w:rsidR="001E7B62" w:rsidRPr="001E7B62" w14:paraId="3B29234C" w14:textId="77777777" w:rsidTr="00D22419">
        <w:tc>
          <w:tcPr>
            <w:tcW w:w="6336" w:type="dxa"/>
            <w:tcMar>
              <w:top w:w="60" w:type="dxa"/>
              <w:left w:w="240" w:type="dxa"/>
              <w:bottom w:w="60" w:type="dxa"/>
              <w:right w:w="240" w:type="dxa"/>
            </w:tcMar>
            <w:hideMark/>
          </w:tcPr>
          <w:p w14:paraId="6CC0663C" w14:textId="77777777" w:rsidR="001E7B62" w:rsidRPr="001E7B62" w:rsidRDefault="001E7B62" w:rsidP="001E7B62">
            <w:pPr>
              <w:jc w:val="both"/>
              <w:rPr>
                <w:lang w:val="vi-VN"/>
              </w:rPr>
            </w:pPr>
            <w:r w:rsidRPr="001E7B62">
              <w:rPr>
                <w:lang w:val="vi-VN"/>
              </w:rPr>
              <w:t>Hinder alignment and integration of ESG goals and strategies across the organization, resulting in inconsistent or contradictory actions or messages.</w:t>
            </w:r>
          </w:p>
        </w:tc>
        <w:tc>
          <w:tcPr>
            <w:tcW w:w="2445" w:type="dxa"/>
            <w:tcMar>
              <w:top w:w="60" w:type="dxa"/>
              <w:left w:w="240" w:type="dxa"/>
              <w:bottom w:w="60" w:type="dxa"/>
              <w:right w:w="240" w:type="dxa"/>
            </w:tcMar>
            <w:hideMark/>
          </w:tcPr>
          <w:p w14:paraId="2C1EF453" w14:textId="77777777" w:rsidR="001E7B62" w:rsidRPr="001E7B62" w:rsidRDefault="001E7B62" w:rsidP="001E7B62">
            <w:pPr>
              <w:jc w:val="both"/>
              <w:rPr>
                <w:lang w:val="vi-VN"/>
              </w:rPr>
            </w:pPr>
            <w:r w:rsidRPr="001E7B62">
              <w:rPr>
                <w:lang w:val="vi-VN"/>
              </w:rPr>
              <w:t>Disadvantage</w:t>
            </w:r>
          </w:p>
        </w:tc>
        <w:tc>
          <w:tcPr>
            <w:tcW w:w="5386" w:type="dxa"/>
            <w:tcMar>
              <w:top w:w="60" w:type="dxa"/>
              <w:left w:w="240" w:type="dxa"/>
              <w:bottom w:w="60" w:type="dxa"/>
              <w:right w:w="240" w:type="dxa"/>
            </w:tcMar>
            <w:hideMark/>
          </w:tcPr>
          <w:p w14:paraId="3A8FD69D" w14:textId="77777777" w:rsidR="001E7B62" w:rsidRPr="001E7B62" w:rsidRDefault="001E7B62" w:rsidP="001E7B62">
            <w:pPr>
              <w:jc w:val="both"/>
              <w:rPr>
                <w:lang w:val="vi-VN"/>
              </w:rPr>
            </w:pPr>
            <w:r w:rsidRPr="001E7B62">
              <w:rPr>
                <w:lang w:val="vi-VN"/>
              </w:rPr>
              <w:t>Reduces cohesion, leading to fragmented ESG efforts and mixed messages internally and externally.</w:t>
            </w:r>
          </w:p>
        </w:tc>
      </w:tr>
      <w:tr w:rsidR="001E7B62" w:rsidRPr="001E7B62" w14:paraId="4B64466B" w14:textId="77777777" w:rsidTr="00D22419">
        <w:tc>
          <w:tcPr>
            <w:tcW w:w="6336" w:type="dxa"/>
            <w:tcMar>
              <w:top w:w="60" w:type="dxa"/>
              <w:left w:w="240" w:type="dxa"/>
              <w:bottom w:w="60" w:type="dxa"/>
              <w:right w:w="240" w:type="dxa"/>
            </w:tcMar>
            <w:hideMark/>
          </w:tcPr>
          <w:p w14:paraId="343BE16B" w14:textId="77777777" w:rsidR="001E7B62" w:rsidRPr="001E7B62" w:rsidRDefault="001E7B62" w:rsidP="001E7B62">
            <w:pPr>
              <w:jc w:val="both"/>
              <w:rPr>
                <w:lang w:val="vi-VN"/>
              </w:rPr>
            </w:pPr>
            <w:r w:rsidRPr="001E7B62">
              <w:rPr>
                <w:lang w:val="vi-VN"/>
              </w:rPr>
              <w:t>Create a sense of identity and belonging for each group's members.</w:t>
            </w:r>
          </w:p>
        </w:tc>
        <w:tc>
          <w:tcPr>
            <w:tcW w:w="2445" w:type="dxa"/>
            <w:tcMar>
              <w:top w:w="60" w:type="dxa"/>
              <w:left w:w="240" w:type="dxa"/>
              <w:bottom w:w="60" w:type="dxa"/>
              <w:right w:w="240" w:type="dxa"/>
            </w:tcMar>
            <w:hideMark/>
          </w:tcPr>
          <w:p w14:paraId="7843924B" w14:textId="77777777" w:rsidR="001E7B62" w:rsidRPr="001E7B62" w:rsidRDefault="001E7B62" w:rsidP="001E7B62">
            <w:pPr>
              <w:jc w:val="both"/>
              <w:rPr>
                <w:lang w:val="vi-VN"/>
              </w:rPr>
            </w:pPr>
            <w:r w:rsidRPr="001E7B62">
              <w:rPr>
                <w:lang w:val="vi-VN"/>
              </w:rPr>
              <w:t>Advantage</w:t>
            </w:r>
          </w:p>
        </w:tc>
        <w:tc>
          <w:tcPr>
            <w:tcW w:w="5386" w:type="dxa"/>
            <w:tcMar>
              <w:top w:w="60" w:type="dxa"/>
              <w:left w:w="240" w:type="dxa"/>
              <w:bottom w:w="60" w:type="dxa"/>
              <w:right w:w="240" w:type="dxa"/>
            </w:tcMar>
            <w:hideMark/>
          </w:tcPr>
          <w:p w14:paraId="535051F0" w14:textId="77777777" w:rsidR="001E7B62" w:rsidRPr="001E7B62" w:rsidRDefault="001E7B62" w:rsidP="001E7B62">
            <w:pPr>
              <w:jc w:val="both"/>
              <w:rPr>
                <w:lang w:val="vi-VN"/>
              </w:rPr>
            </w:pPr>
            <w:r w:rsidRPr="001E7B62">
              <w:rPr>
                <w:lang w:val="vi-VN"/>
              </w:rPr>
              <w:t>Boosts morale and commitment by reinforcing group identity, helping members stay engaged in their ESG roles.</w:t>
            </w:r>
          </w:p>
        </w:tc>
      </w:tr>
    </w:tbl>
    <w:p w14:paraId="1301BC6A" w14:textId="77777777" w:rsidR="001E7B62" w:rsidRDefault="001E7B62" w:rsidP="001E7B62">
      <w:pPr>
        <w:jc w:val="both"/>
        <w:rPr>
          <w:b/>
          <w:bCs/>
          <w:lang w:val="vi-VN"/>
        </w:rPr>
        <w:sectPr w:rsidR="001E7B62" w:rsidSect="00D22419">
          <w:headerReference w:type="default" r:id="rId15"/>
          <w:footerReference w:type="default" r:id="rId16"/>
          <w:pgSz w:w="16840" w:h="11907" w:orient="landscape" w:code="9"/>
          <w:pgMar w:top="851" w:right="1701" w:bottom="851" w:left="1134" w:header="0" w:footer="0" w:gutter="0"/>
          <w:cols w:space="708"/>
          <w:docGrid w:linePitch="381"/>
        </w:sectPr>
      </w:pPr>
    </w:p>
    <w:p w14:paraId="60EE55BB" w14:textId="77777777" w:rsidR="001E7B62" w:rsidRPr="001E7B62" w:rsidRDefault="001E7B62" w:rsidP="001E7B62">
      <w:pPr>
        <w:jc w:val="both"/>
        <w:rPr>
          <w:b/>
          <w:bCs/>
          <w:lang w:val="vi-VN"/>
        </w:rPr>
      </w:pPr>
      <w:r w:rsidRPr="001E7B62">
        <w:rPr>
          <w:b/>
          <w:bCs/>
          <w:lang w:val="vi-VN"/>
        </w:rPr>
        <w:t>Overcoming Silo Disadvantages</w:t>
      </w:r>
    </w:p>
    <w:p w14:paraId="325BBF20" w14:textId="77777777" w:rsidR="001E7B62" w:rsidRPr="001E7B62" w:rsidRDefault="001E7B62" w:rsidP="001E7B62">
      <w:pPr>
        <w:jc w:val="both"/>
        <w:rPr>
          <w:lang w:val="vi-VN"/>
        </w:rPr>
      </w:pPr>
      <w:r w:rsidRPr="001E7B62">
        <w:rPr>
          <w:lang w:val="vi-VN"/>
        </w:rPr>
        <w:t>To overcome the disadvantages, organizations need to break down or bridge the silos that exist within their structures, and develop a culture of collaboration, learning, and innovation on ESG matters.  </w:t>
      </w:r>
    </w:p>
    <w:p w14:paraId="04C00073" w14:textId="77777777" w:rsidR="001E7B62" w:rsidRPr="001E7B62" w:rsidRDefault="001E7B62" w:rsidP="001E7B62">
      <w:pPr>
        <w:jc w:val="both"/>
        <w:rPr>
          <w:lang w:val="vi-VN"/>
        </w:rPr>
      </w:pPr>
      <w:r w:rsidRPr="001E7B62">
        <w:rPr>
          <w:lang w:val="vi-VN"/>
        </w:rPr>
        <w:t> Furthermore, many ESG challenges will be solved in collaboration with stakeholders outside your own organization, be they suppliers, customers, the government, communities or the scientific community. We must embrace Radical Collaboration to succeed in this New Era.</w:t>
      </w:r>
    </w:p>
    <w:p w14:paraId="54DDFCBD" w14:textId="77777777" w:rsidR="001E7B62" w:rsidRPr="001E7B62" w:rsidRDefault="001E7B62" w:rsidP="001E7B62">
      <w:pPr>
        <w:jc w:val="both"/>
        <w:rPr>
          <w:b/>
          <w:bCs/>
          <w:lang w:val="vi-VN"/>
        </w:rPr>
      </w:pPr>
      <w:r w:rsidRPr="001E7B62">
        <w:rPr>
          <w:b/>
          <w:bCs/>
          <w:lang w:val="vi-VN"/>
        </w:rPr>
        <w:t>Resistance to Change</w:t>
      </w:r>
    </w:p>
    <w:p w14:paraId="6335CB01" w14:textId="77777777" w:rsidR="001E7B62" w:rsidRPr="001E7B62" w:rsidRDefault="001E7B62" w:rsidP="001E7B62">
      <w:pPr>
        <w:jc w:val="both"/>
        <w:rPr>
          <w:lang w:val="vi-VN"/>
        </w:rPr>
      </w:pPr>
      <w:r w:rsidRPr="001E7B62">
        <w:rPr>
          <w:lang w:val="vi-VN"/>
        </w:rPr>
        <w:t>Resistance to change can occur for various reasons: </w:t>
      </w:r>
    </w:p>
    <w:p w14:paraId="21B9D83B" w14:textId="77777777" w:rsidR="001E7B62" w:rsidRPr="001E7B62" w:rsidRDefault="001E7B62" w:rsidP="001E7B62">
      <w:pPr>
        <w:numPr>
          <w:ilvl w:val="0"/>
          <w:numId w:val="1"/>
        </w:numPr>
        <w:jc w:val="both"/>
        <w:rPr>
          <w:lang w:val="vi-VN"/>
        </w:rPr>
      </w:pPr>
      <w:r w:rsidRPr="001E7B62">
        <w:rPr>
          <w:lang w:val="vi-VN"/>
        </w:rPr>
        <w:t>Lack of clear standards and definitions for ESG criteria and reporting.</w:t>
      </w:r>
    </w:p>
    <w:p w14:paraId="71A9145D" w14:textId="77777777" w:rsidR="001E7B62" w:rsidRPr="001E7B62" w:rsidRDefault="001E7B62" w:rsidP="001E7B62">
      <w:pPr>
        <w:numPr>
          <w:ilvl w:val="0"/>
          <w:numId w:val="1"/>
        </w:numPr>
        <w:jc w:val="both"/>
        <w:rPr>
          <w:lang w:val="vi-VN"/>
        </w:rPr>
      </w:pPr>
      <w:r w:rsidRPr="001E7B62">
        <w:rPr>
          <w:lang w:val="vi-VN"/>
        </w:rPr>
        <w:t>Difficulty in measuring and quantifying the benefits and costs of ESG initiatives. </w:t>
      </w:r>
    </w:p>
    <w:p w14:paraId="7E7F382E" w14:textId="77777777" w:rsidR="001E7B62" w:rsidRPr="001E7B62" w:rsidRDefault="001E7B62" w:rsidP="001E7B62">
      <w:pPr>
        <w:numPr>
          <w:ilvl w:val="0"/>
          <w:numId w:val="1"/>
        </w:numPr>
        <w:jc w:val="both"/>
        <w:rPr>
          <w:lang w:val="vi-VN"/>
        </w:rPr>
      </w:pPr>
      <w:r w:rsidRPr="001E7B62">
        <w:rPr>
          <w:lang w:val="vi-VN"/>
        </w:rPr>
        <w:t>Fear of losing competitiveness or profitability by adopting ESG practices. </w:t>
      </w:r>
    </w:p>
    <w:p w14:paraId="719B3B69" w14:textId="77777777" w:rsidR="001E7B62" w:rsidRPr="001E7B62" w:rsidRDefault="001E7B62" w:rsidP="001E7B62">
      <w:pPr>
        <w:numPr>
          <w:ilvl w:val="0"/>
          <w:numId w:val="1"/>
        </w:numPr>
        <w:jc w:val="both"/>
        <w:rPr>
          <w:lang w:val="vi-VN"/>
        </w:rPr>
      </w:pPr>
      <w:r w:rsidRPr="001E7B62">
        <w:rPr>
          <w:lang w:val="vi-VN"/>
        </w:rPr>
        <w:t>Skepticism or cynicism about the sincerity and effectiveness of ESG commitments.</w:t>
      </w:r>
    </w:p>
    <w:p w14:paraId="6B433157" w14:textId="77777777" w:rsidR="001E7B62" w:rsidRPr="001E7B62" w:rsidRDefault="001E7B62" w:rsidP="001E7B62">
      <w:pPr>
        <w:numPr>
          <w:ilvl w:val="0"/>
          <w:numId w:val="1"/>
        </w:numPr>
        <w:jc w:val="both"/>
        <w:rPr>
          <w:lang w:val="vi-VN"/>
        </w:rPr>
      </w:pPr>
      <w:r w:rsidRPr="001E7B62">
        <w:rPr>
          <w:lang w:val="vi-VN"/>
        </w:rPr>
        <w:t>Fear of uncertainty and loss of control due to changing business models and practices. </w:t>
      </w:r>
    </w:p>
    <w:p w14:paraId="0BC8BCBC" w14:textId="77777777" w:rsidR="001E7B62" w:rsidRPr="001E7B62" w:rsidRDefault="001E7B62" w:rsidP="001E7B62">
      <w:pPr>
        <w:jc w:val="both"/>
        <w:rPr>
          <w:b/>
          <w:bCs/>
          <w:lang w:val="vi-VN"/>
        </w:rPr>
      </w:pPr>
      <w:r w:rsidRPr="001E7B62">
        <w:rPr>
          <w:b/>
          <w:bCs/>
          <w:lang w:val="vi-VN"/>
        </w:rPr>
        <w:t>Overcoming Resistance to Change</w:t>
      </w:r>
    </w:p>
    <w:p w14:paraId="2EFD41F4" w14:textId="77777777" w:rsidR="001E7B62" w:rsidRPr="001E7B62" w:rsidRDefault="001E7B62" w:rsidP="001E7B62">
      <w:pPr>
        <w:jc w:val="both"/>
        <w:rPr>
          <w:lang w:val="vi-VN"/>
        </w:rPr>
      </w:pPr>
      <w:r w:rsidRPr="001E7B62">
        <w:rPr>
          <w:lang w:val="vi-VN"/>
        </w:rPr>
        <w:t>To overcome resistance to change, leaders need to do a number of things.  </w:t>
      </w:r>
    </w:p>
    <w:p w14:paraId="44D7F652" w14:textId="77777777" w:rsidR="001E7B62" w:rsidRPr="001E7B62" w:rsidRDefault="001E7B62" w:rsidP="001E7B62">
      <w:pPr>
        <w:numPr>
          <w:ilvl w:val="0"/>
          <w:numId w:val="2"/>
        </w:numPr>
        <w:jc w:val="both"/>
        <w:rPr>
          <w:lang w:val="vi-VN"/>
        </w:rPr>
      </w:pPr>
      <w:r w:rsidRPr="001E7B62">
        <w:rPr>
          <w:lang w:val="vi-VN"/>
        </w:rPr>
        <w:t>Communicate a clear vision and purpose for ESG that aligns with the organization's values and goals.</w:t>
      </w:r>
    </w:p>
    <w:p w14:paraId="2C1188F9" w14:textId="77777777" w:rsidR="001E7B62" w:rsidRPr="001E7B62" w:rsidRDefault="001E7B62" w:rsidP="001E7B62">
      <w:pPr>
        <w:numPr>
          <w:ilvl w:val="0"/>
          <w:numId w:val="2"/>
        </w:numPr>
        <w:jc w:val="both"/>
        <w:rPr>
          <w:lang w:val="vi-VN"/>
        </w:rPr>
      </w:pPr>
      <w:r w:rsidRPr="001E7B62">
        <w:rPr>
          <w:lang w:val="vi-VN"/>
        </w:rPr>
        <w:t>Engage and empower stakeholders at all levels, from employees to customers to investors, to participate in ESG decision-making and implementation.</w:t>
      </w:r>
    </w:p>
    <w:p w14:paraId="37C0827D" w14:textId="77777777" w:rsidR="001E7B62" w:rsidRPr="001E7B62" w:rsidRDefault="001E7B62" w:rsidP="001E7B62">
      <w:pPr>
        <w:numPr>
          <w:ilvl w:val="0"/>
          <w:numId w:val="2"/>
        </w:numPr>
        <w:jc w:val="both"/>
        <w:rPr>
          <w:lang w:val="vi-VN"/>
        </w:rPr>
      </w:pPr>
      <w:r w:rsidRPr="001E7B62">
        <w:rPr>
          <w:lang w:val="vi-VN"/>
        </w:rPr>
        <w:t>Provide adequate resources, incentives, and support for ESG initiatives and innovation.</w:t>
      </w:r>
    </w:p>
    <w:p w14:paraId="6F5ABA91" w14:textId="77777777" w:rsidR="001E7B62" w:rsidRPr="001E7B62" w:rsidRDefault="001E7B62" w:rsidP="001E7B62">
      <w:pPr>
        <w:numPr>
          <w:ilvl w:val="0"/>
          <w:numId w:val="2"/>
        </w:numPr>
        <w:jc w:val="both"/>
        <w:rPr>
          <w:lang w:val="vi-VN"/>
        </w:rPr>
      </w:pPr>
      <w:r w:rsidRPr="001E7B62">
        <w:rPr>
          <w:lang w:val="vi-VN"/>
        </w:rPr>
        <w:t>Monitor and report on ESG performance and impact using reliable data and metrics.</w:t>
      </w:r>
    </w:p>
    <w:p w14:paraId="06B43F9F" w14:textId="77777777" w:rsidR="001E7B62" w:rsidRPr="001E7B62" w:rsidRDefault="001E7B62" w:rsidP="001E7B62">
      <w:pPr>
        <w:numPr>
          <w:ilvl w:val="0"/>
          <w:numId w:val="2"/>
        </w:numPr>
        <w:jc w:val="both"/>
        <w:rPr>
          <w:lang w:val="vi-VN"/>
        </w:rPr>
      </w:pPr>
      <w:r w:rsidRPr="001E7B62">
        <w:rPr>
          <w:lang w:val="vi-VN"/>
        </w:rPr>
        <w:t>Celebrate and reward ESG achievements and learn from failures.</w:t>
      </w:r>
    </w:p>
    <w:p w14:paraId="283B4F24" w14:textId="77777777" w:rsidR="00CF4886" w:rsidRDefault="00CF4886" w:rsidP="001E7B62">
      <w:pPr>
        <w:jc w:val="both"/>
      </w:pPr>
    </w:p>
    <w:sectPr w:rsidR="00CF4886" w:rsidSect="00C85D61">
      <w:headerReference w:type="default" r:id="rId17"/>
      <w:footerReference w:type="default" r:id="rId18"/>
      <w:pgSz w:w="11907" w:h="16840" w:code="9"/>
      <w:pgMar w:top="1701" w:right="1134" w:bottom="1134" w:left="1134"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1BBD8" w14:textId="77777777" w:rsidR="003F1CDF" w:rsidRDefault="003F1CDF" w:rsidP="001E7B62">
      <w:pPr>
        <w:spacing w:after="0" w:line="240" w:lineRule="auto"/>
      </w:pPr>
      <w:r>
        <w:separator/>
      </w:r>
    </w:p>
  </w:endnote>
  <w:endnote w:type="continuationSeparator" w:id="0">
    <w:p w14:paraId="140EF26A" w14:textId="77777777" w:rsidR="003F1CDF" w:rsidRDefault="003F1CDF" w:rsidP="001E7B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anom PV">
    <w:panose1 w:val="02000000000000000000"/>
    <w:charset w:val="80"/>
    <w:family w:val="auto"/>
    <w:pitch w:val="variable"/>
    <w:sig w:usb0="20000287" w:usb1="2ADF3C10" w:usb2="00000016" w:usb3="00000000" w:csb0="00060107" w:csb1="00000000"/>
    <w:embedRegular r:id="rId1" w:subsetted="1" w:fontKey="{FB1F154B-5EBD-4EAE-8185-6852D520A220}"/>
    <w:embedBold r:id="rId2" w:subsetted="1" w:fontKey="{1F3E896E-15ED-4B1D-B4E1-110B0AE6D61D}"/>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EC5CE" w14:textId="77777777" w:rsidR="001E7B62" w:rsidRDefault="001E7B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19BA1" w14:textId="77777777" w:rsidR="001E7B62" w:rsidRDefault="001E7B6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A2776" w14:textId="77777777" w:rsidR="001E7B62" w:rsidRDefault="001E7B6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1370C" w14:textId="77777777" w:rsidR="001E7B62" w:rsidRDefault="001E7B6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E1440" w14:textId="77777777" w:rsidR="001E7B62" w:rsidRDefault="001E7B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F1B51" w14:textId="77777777" w:rsidR="003F1CDF" w:rsidRDefault="003F1CDF" w:rsidP="001E7B62">
      <w:pPr>
        <w:spacing w:after="0" w:line="240" w:lineRule="auto"/>
      </w:pPr>
      <w:r>
        <w:separator/>
      </w:r>
    </w:p>
  </w:footnote>
  <w:footnote w:type="continuationSeparator" w:id="0">
    <w:p w14:paraId="7FBC5C90" w14:textId="77777777" w:rsidR="003F1CDF" w:rsidRDefault="003F1CDF" w:rsidP="001E7B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FCE4B" w14:textId="77777777" w:rsidR="001E7B62" w:rsidRDefault="001E7B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1BB51" w14:textId="77777777" w:rsidR="001E7B62" w:rsidRDefault="001E7B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6F059" w14:textId="77777777" w:rsidR="001E7B62" w:rsidRDefault="001E7B6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A6798" w14:textId="77777777" w:rsidR="001E7B62" w:rsidRDefault="001E7B6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47CD1" w14:textId="77777777" w:rsidR="001E7B62" w:rsidRDefault="001E7B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E1C6B"/>
    <w:multiLevelType w:val="multilevel"/>
    <w:tmpl w:val="ECD4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F9C3BB9"/>
    <w:multiLevelType w:val="multilevel"/>
    <w:tmpl w:val="DE1A2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0925511">
    <w:abstractNumId w:val="0"/>
  </w:num>
  <w:num w:numId="2" w16cid:durableId="14042556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drawingGridHorizontalSpacing w:val="11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B62"/>
    <w:rsid w:val="00043159"/>
    <w:rsid w:val="000D76D2"/>
    <w:rsid w:val="00135354"/>
    <w:rsid w:val="001A4A8F"/>
    <w:rsid w:val="001E7B62"/>
    <w:rsid w:val="00226859"/>
    <w:rsid w:val="002B06EB"/>
    <w:rsid w:val="002C7714"/>
    <w:rsid w:val="002E11FF"/>
    <w:rsid w:val="003F1CDF"/>
    <w:rsid w:val="00422BAE"/>
    <w:rsid w:val="00534847"/>
    <w:rsid w:val="005A7366"/>
    <w:rsid w:val="005D125A"/>
    <w:rsid w:val="005F1509"/>
    <w:rsid w:val="006B3A0E"/>
    <w:rsid w:val="006F6010"/>
    <w:rsid w:val="007314C6"/>
    <w:rsid w:val="00826A98"/>
    <w:rsid w:val="00A1565C"/>
    <w:rsid w:val="00A565F2"/>
    <w:rsid w:val="00A731E6"/>
    <w:rsid w:val="00AC2453"/>
    <w:rsid w:val="00B22B23"/>
    <w:rsid w:val="00B47B94"/>
    <w:rsid w:val="00BF6FCA"/>
    <w:rsid w:val="00C17186"/>
    <w:rsid w:val="00C85D61"/>
    <w:rsid w:val="00CA3E8F"/>
    <w:rsid w:val="00CF4886"/>
    <w:rsid w:val="00D2217E"/>
    <w:rsid w:val="00D22419"/>
    <w:rsid w:val="00DA1E3F"/>
    <w:rsid w:val="00E2114F"/>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A6B0CE"/>
  <w15:chartTrackingRefBased/>
  <w15:docId w15:val="{BEFDA034-A833-4C45-BC2C-3BD3CFE16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Hanom PV" w:hAnsiTheme="minorHAnsi" w:cstheme="minorBidi"/>
        <w:kern w:val="2"/>
        <w:sz w:val="22"/>
        <w:szCs w:val="22"/>
        <w:lang w:val="vi-VN" w:eastAsia="zh-CN" w:bidi="ar-SA"/>
        <w14:ligatures w14:val="standardContextual"/>
      </w:rPr>
    </w:rPrDefault>
    <w:pPrDefault>
      <w:pPr>
        <w:spacing w:before="120" w:line="360" w:lineRule="atLeast"/>
        <w:ind w:firstLine="45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859"/>
    <w:pPr>
      <w:spacing w:before="0" w:after="200" w:line="276" w:lineRule="auto"/>
      <w:ind w:firstLine="0"/>
      <w:jc w:val="left"/>
    </w:pPr>
    <w:rPr>
      <w:rFonts w:ascii="Hanom PV" w:hAnsi="Hanom PV"/>
      <w:noProof/>
      <w:kern w:val="0"/>
      <w:sz w:val="28"/>
      <w:lang w:val="en-US" w:eastAsia="en-US"/>
    </w:rPr>
  </w:style>
  <w:style w:type="paragraph" w:styleId="Heading1">
    <w:name w:val="heading 1"/>
    <w:basedOn w:val="Normal"/>
    <w:next w:val="Normal"/>
    <w:link w:val="Heading1Char"/>
    <w:uiPriority w:val="9"/>
    <w:qFormat/>
    <w:rsid w:val="001E7B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7B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7B62"/>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1E7B6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E7B6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E7B6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E7B6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E7B6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E7B6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autoRedefine/>
    <w:uiPriority w:val="39"/>
    <w:semiHidden/>
    <w:unhideWhenUsed/>
    <w:rsid w:val="00B22B23"/>
    <w:rPr>
      <w:rFonts w:asciiTheme="majorHAnsi" w:hAnsiTheme="majorHAnsi"/>
      <w:b/>
      <w:sz w:val="24"/>
    </w:rPr>
  </w:style>
  <w:style w:type="paragraph" w:styleId="TOC1">
    <w:name w:val="toc 1"/>
    <w:aliases w:val="MUC LUC PTTY"/>
    <w:basedOn w:val="Normal"/>
    <w:next w:val="Normal"/>
    <w:autoRedefine/>
    <w:uiPriority w:val="39"/>
    <w:semiHidden/>
    <w:unhideWhenUsed/>
    <w:rsid w:val="00B22B23"/>
    <w:rPr>
      <w:rFonts w:asciiTheme="majorHAnsi" w:hAnsiTheme="majorHAnsi"/>
      <w:b/>
      <w:sz w:val="24"/>
    </w:rPr>
  </w:style>
  <w:style w:type="paragraph" w:styleId="TOC3">
    <w:name w:val="toc 3"/>
    <w:basedOn w:val="Normal"/>
    <w:next w:val="Normal"/>
    <w:autoRedefine/>
    <w:uiPriority w:val="39"/>
    <w:semiHidden/>
    <w:unhideWhenUsed/>
    <w:rsid w:val="00B22B23"/>
    <w:rPr>
      <w:rFonts w:asciiTheme="majorHAnsi" w:hAnsiTheme="majorHAnsi"/>
      <w:sz w:val="24"/>
    </w:rPr>
  </w:style>
  <w:style w:type="paragraph" w:customStyle="1" w:styleId="TIU1">
    <w:name w:val="TIÊU ĐỀ 1"/>
    <w:basedOn w:val="Title"/>
    <w:link w:val="TIU1Char"/>
    <w:qFormat/>
    <w:rsid w:val="006B3A0E"/>
    <w:pPr>
      <w:spacing w:after="120" w:line="320" w:lineRule="atLeast"/>
      <w:contextualSpacing w:val="0"/>
      <w:jc w:val="center"/>
      <w:outlineLvl w:val="0"/>
    </w:pPr>
    <w:rPr>
      <w:rFonts w:ascii="Times New Roman" w:eastAsia="SimSun" w:hAnsi="Times New Roman" w:cs="Times New Roman"/>
      <w:b/>
      <w:bCs/>
      <w:spacing w:val="0"/>
      <w:sz w:val="28"/>
      <w:szCs w:val="32"/>
      <w:lang w:val="vi-VN"/>
    </w:rPr>
  </w:style>
  <w:style w:type="character" w:customStyle="1" w:styleId="TIU1Char">
    <w:name w:val="TIÊU ĐỀ 1 Char"/>
    <w:basedOn w:val="DefaultParagraphFont"/>
    <w:link w:val="TIU1"/>
    <w:rsid w:val="006B3A0E"/>
    <w:rPr>
      <w:rFonts w:ascii="Times New Roman" w:eastAsia="SimSun" w:hAnsi="Times New Roman" w:cs="Times New Roman"/>
      <w:b/>
      <w:bCs/>
      <w:kern w:val="28"/>
      <w:sz w:val="28"/>
      <w:szCs w:val="32"/>
      <w:lang w:eastAsia="zh-TW"/>
    </w:rPr>
  </w:style>
  <w:style w:type="paragraph" w:styleId="Title">
    <w:name w:val="Title"/>
    <w:basedOn w:val="Normal"/>
    <w:next w:val="Normal"/>
    <w:link w:val="TitleChar"/>
    <w:uiPriority w:val="10"/>
    <w:qFormat/>
    <w:rsid w:val="006B3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A0E"/>
    <w:rPr>
      <w:rFonts w:asciiTheme="majorHAnsi" w:eastAsiaTheme="majorEastAsia" w:hAnsiTheme="majorHAnsi" w:cstheme="majorBidi"/>
      <w:noProof/>
      <w:spacing w:val="-10"/>
      <w:kern w:val="28"/>
      <w:sz w:val="56"/>
      <w:szCs w:val="56"/>
      <w:lang w:val="en-US" w:eastAsia="zh-TW"/>
    </w:rPr>
  </w:style>
  <w:style w:type="character" w:customStyle="1" w:styleId="Heading1Char">
    <w:name w:val="Heading 1 Char"/>
    <w:basedOn w:val="DefaultParagraphFont"/>
    <w:link w:val="Heading1"/>
    <w:uiPriority w:val="9"/>
    <w:rsid w:val="001E7B62"/>
    <w:rPr>
      <w:rFonts w:asciiTheme="majorHAnsi" w:eastAsiaTheme="majorEastAsia" w:hAnsiTheme="majorHAnsi" w:cstheme="majorBidi"/>
      <w:noProof/>
      <w:color w:val="0F4761" w:themeColor="accent1" w:themeShade="BF"/>
      <w:kern w:val="0"/>
      <w:sz w:val="40"/>
      <w:szCs w:val="40"/>
      <w:lang w:val="en-US" w:eastAsia="en-US"/>
    </w:rPr>
  </w:style>
  <w:style w:type="character" w:customStyle="1" w:styleId="Heading2Char">
    <w:name w:val="Heading 2 Char"/>
    <w:basedOn w:val="DefaultParagraphFont"/>
    <w:link w:val="Heading2"/>
    <w:uiPriority w:val="9"/>
    <w:semiHidden/>
    <w:rsid w:val="001E7B62"/>
    <w:rPr>
      <w:rFonts w:asciiTheme="majorHAnsi" w:eastAsiaTheme="majorEastAsia" w:hAnsiTheme="majorHAnsi" w:cstheme="majorBidi"/>
      <w:noProof/>
      <w:color w:val="0F4761" w:themeColor="accent1" w:themeShade="BF"/>
      <w:kern w:val="0"/>
      <w:sz w:val="32"/>
      <w:szCs w:val="32"/>
      <w:lang w:val="en-US" w:eastAsia="en-US"/>
    </w:rPr>
  </w:style>
  <w:style w:type="character" w:customStyle="1" w:styleId="Heading3Char">
    <w:name w:val="Heading 3 Char"/>
    <w:basedOn w:val="DefaultParagraphFont"/>
    <w:link w:val="Heading3"/>
    <w:uiPriority w:val="9"/>
    <w:semiHidden/>
    <w:rsid w:val="001E7B62"/>
    <w:rPr>
      <w:rFonts w:eastAsiaTheme="majorEastAsia" w:cstheme="majorBidi"/>
      <w:noProof/>
      <w:color w:val="0F4761" w:themeColor="accent1" w:themeShade="BF"/>
      <w:kern w:val="0"/>
      <w:sz w:val="28"/>
      <w:szCs w:val="28"/>
      <w:lang w:val="en-US" w:eastAsia="en-US"/>
    </w:rPr>
  </w:style>
  <w:style w:type="character" w:customStyle="1" w:styleId="Heading4Char">
    <w:name w:val="Heading 4 Char"/>
    <w:basedOn w:val="DefaultParagraphFont"/>
    <w:link w:val="Heading4"/>
    <w:uiPriority w:val="9"/>
    <w:semiHidden/>
    <w:rsid w:val="001E7B62"/>
    <w:rPr>
      <w:rFonts w:eastAsiaTheme="majorEastAsia" w:cstheme="majorBidi"/>
      <w:i/>
      <w:iCs/>
      <w:noProof/>
      <w:color w:val="0F4761" w:themeColor="accent1" w:themeShade="BF"/>
      <w:kern w:val="0"/>
      <w:sz w:val="28"/>
      <w:lang w:val="en-US" w:eastAsia="en-US"/>
    </w:rPr>
  </w:style>
  <w:style w:type="character" w:customStyle="1" w:styleId="Heading5Char">
    <w:name w:val="Heading 5 Char"/>
    <w:basedOn w:val="DefaultParagraphFont"/>
    <w:link w:val="Heading5"/>
    <w:uiPriority w:val="9"/>
    <w:semiHidden/>
    <w:rsid w:val="001E7B62"/>
    <w:rPr>
      <w:rFonts w:eastAsiaTheme="majorEastAsia" w:cstheme="majorBidi"/>
      <w:noProof/>
      <w:color w:val="0F4761" w:themeColor="accent1" w:themeShade="BF"/>
      <w:kern w:val="0"/>
      <w:sz w:val="28"/>
      <w:lang w:val="en-US" w:eastAsia="en-US"/>
    </w:rPr>
  </w:style>
  <w:style w:type="character" w:customStyle="1" w:styleId="Heading6Char">
    <w:name w:val="Heading 6 Char"/>
    <w:basedOn w:val="DefaultParagraphFont"/>
    <w:link w:val="Heading6"/>
    <w:uiPriority w:val="9"/>
    <w:semiHidden/>
    <w:rsid w:val="001E7B62"/>
    <w:rPr>
      <w:rFonts w:eastAsiaTheme="majorEastAsia" w:cstheme="majorBidi"/>
      <w:i/>
      <w:iCs/>
      <w:noProof/>
      <w:color w:val="595959" w:themeColor="text1" w:themeTint="A6"/>
      <w:kern w:val="0"/>
      <w:sz w:val="28"/>
      <w:lang w:val="en-US" w:eastAsia="en-US"/>
    </w:rPr>
  </w:style>
  <w:style w:type="character" w:customStyle="1" w:styleId="Heading7Char">
    <w:name w:val="Heading 7 Char"/>
    <w:basedOn w:val="DefaultParagraphFont"/>
    <w:link w:val="Heading7"/>
    <w:uiPriority w:val="9"/>
    <w:semiHidden/>
    <w:rsid w:val="001E7B62"/>
    <w:rPr>
      <w:rFonts w:eastAsiaTheme="majorEastAsia" w:cstheme="majorBidi"/>
      <w:noProof/>
      <w:color w:val="595959" w:themeColor="text1" w:themeTint="A6"/>
      <w:kern w:val="0"/>
      <w:sz w:val="28"/>
      <w:lang w:val="en-US" w:eastAsia="en-US"/>
    </w:rPr>
  </w:style>
  <w:style w:type="character" w:customStyle="1" w:styleId="Heading8Char">
    <w:name w:val="Heading 8 Char"/>
    <w:basedOn w:val="DefaultParagraphFont"/>
    <w:link w:val="Heading8"/>
    <w:uiPriority w:val="9"/>
    <w:semiHidden/>
    <w:rsid w:val="001E7B62"/>
    <w:rPr>
      <w:rFonts w:eastAsiaTheme="majorEastAsia" w:cstheme="majorBidi"/>
      <w:i/>
      <w:iCs/>
      <w:noProof/>
      <w:color w:val="272727" w:themeColor="text1" w:themeTint="D8"/>
      <w:kern w:val="0"/>
      <w:sz w:val="28"/>
      <w:lang w:val="en-US" w:eastAsia="en-US"/>
    </w:rPr>
  </w:style>
  <w:style w:type="character" w:customStyle="1" w:styleId="Heading9Char">
    <w:name w:val="Heading 9 Char"/>
    <w:basedOn w:val="DefaultParagraphFont"/>
    <w:link w:val="Heading9"/>
    <w:uiPriority w:val="9"/>
    <w:semiHidden/>
    <w:rsid w:val="001E7B62"/>
    <w:rPr>
      <w:rFonts w:eastAsiaTheme="majorEastAsia" w:cstheme="majorBidi"/>
      <w:noProof/>
      <w:color w:val="272727" w:themeColor="text1" w:themeTint="D8"/>
      <w:kern w:val="0"/>
      <w:sz w:val="28"/>
      <w:lang w:val="en-US" w:eastAsia="en-US"/>
    </w:rPr>
  </w:style>
  <w:style w:type="paragraph" w:styleId="Subtitle">
    <w:name w:val="Subtitle"/>
    <w:basedOn w:val="Normal"/>
    <w:next w:val="Normal"/>
    <w:link w:val="SubtitleChar"/>
    <w:uiPriority w:val="11"/>
    <w:qFormat/>
    <w:rsid w:val="001E7B62"/>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1E7B62"/>
    <w:rPr>
      <w:rFonts w:eastAsiaTheme="majorEastAsia" w:cstheme="majorBidi"/>
      <w:noProof/>
      <w:color w:val="595959" w:themeColor="text1" w:themeTint="A6"/>
      <w:spacing w:val="15"/>
      <w:kern w:val="0"/>
      <w:sz w:val="28"/>
      <w:szCs w:val="28"/>
      <w:lang w:val="en-US" w:eastAsia="en-US"/>
    </w:rPr>
  </w:style>
  <w:style w:type="paragraph" w:styleId="Quote">
    <w:name w:val="Quote"/>
    <w:basedOn w:val="Normal"/>
    <w:next w:val="Normal"/>
    <w:link w:val="QuoteChar"/>
    <w:uiPriority w:val="29"/>
    <w:qFormat/>
    <w:rsid w:val="001E7B6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E7B62"/>
    <w:rPr>
      <w:rFonts w:ascii="Hanom PV" w:hAnsi="Hanom PV"/>
      <w:i/>
      <w:iCs/>
      <w:noProof/>
      <w:color w:val="404040" w:themeColor="text1" w:themeTint="BF"/>
      <w:kern w:val="0"/>
      <w:sz w:val="28"/>
      <w:lang w:val="en-US" w:eastAsia="en-US"/>
    </w:rPr>
  </w:style>
  <w:style w:type="paragraph" w:styleId="ListParagraph">
    <w:name w:val="List Paragraph"/>
    <w:basedOn w:val="Normal"/>
    <w:uiPriority w:val="34"/>
    <w:qFormat/>
    <w:rsid w:val="001E7B62"/>
    <w:pPr>
      <w:ind w:left="720"/>
      <w:contextualSpacing/>
    </w:pPr>
  </w:style>
  <w:style w:type="character" w:styleId="IntenseEmphasis">
    <w:name w:val="Intense Emphasis"/>
    <w:basedOn w:val="DefaultParagraphFont"/>
    <w:uiPriority w:val="21"/>
    <w:qFormat/>
    <w:rsid w:val="001E7B62"/>
    <w:rPr>
      <w:i/>
      <w:iCs/>
      <w:color w:val="0F4761" w:themeColor="accent1" w:themeShade="BF"/>
    </w:rPr>
  </w:style>
  <w:style w:type="paragraph" w:styleId="IntenseQuote">
    <w:name w:val="Intense Quote"/>
    <w:basedOn w:val="Normal"/>
    <w:next w:val="Normal"/>
    <w:link w:val="IntenseQuoteChar"/>
    <w:uiPriority w:val="30"/>
    <w:qFormat/>
    <w:rsid w:val="001E7B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7B62"/>
    <w:rPr>
      <w:rFonts w:ascii="Hanom PV" w:hAnsi="Hanom PV"/>
      <w:i/>
      <w:iCs/>
      <w:noProof/>
      <w:color w:val="0F4761" w:themeColor="accent1" w:themeShade="BF"/>
      <w:kern w:val="0"/>
      <w:sz w:val="28"/>
      <w:lang w:val="en-US" w:eastAsia="en-US"/>
    </w:rPr>
  </w:style>
  <w:style w:type="character" w:styleId="IntenseReference">
    <w:name w:val="Intense Reference"/>
    <w:basedOn w:val="DefaultParagraphFont"/>
    <w:uiPriority w:val="32"/>
    <w:qFormat/>
    <w:rsid w:val="001E7B62"/>
    <w:rPr>
      <w:b/>
      <w:bCs/>
      <w:smallCaps/>
      <w:color w:val="0F4761" w:themeColor="accent1" w:themeShade="BF"/>
      <w:spacing w:val="5"/>
    </w:rPr>
  </w:style>
  <w:style w:type="paragraph" w:styleId="Header">
    <w:name w:val="header"/>
    <w:basedOn w:val="Normal"/>
    <w:link w:val="HeaderChar"/>
    <w:uiPriority w:val="99"/>
    <w:unhideWhenUsed/>
    <w:rsid w:val="001E7B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7B62"/>
    <w:rPr>
      <w:rFonts w:ascii="Hanom PV" w:hAnsi="Hanom PV"/>
      <w:noProof/>
      <w:kern w:val="0"/>
      <w:sz w:val="28"/>
      <w:lang w:val="en-US" w:eastAsia="en-US"/>
    </w:rPr>
  </w:style>
  <w:style w:type="paragraph" w:styleId="Footer">
    <w:name w:val="footer"/>
    <w:basedOn w:val="Normal"/>
    <w:link w:val="FooterChar"/>
    <w:uiPriority w:val="99"/>
    <w:unhideWhenUsed/>
    <w:rsid w:val="001E7B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7B62"/>
    <w:rPr>
      <w:rFonts w:ascii="Hanom PV" w:hAnsi="Hanom PV"/>
      <w:noProof/>
      <w:kern w:val="0"/>
      <w:sz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DB83B6-929F-40C4-BDB8-BC535571F0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524</Words>
  <Characters>2991</Characters>
  <Application>Microsoft Office Word</Application>
  <DocSecurity>0</DocSecurity>
  <Lines>24</Lines>
  <Paragraphs>7</Paragraphs>
  <ScaleCrop>false</ScaleCrop>
  <Company/>
  <LinksUpToDate>false</LinksUpToDate>
  <CharactersWithSpaces>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BT02-21</dc:creator>
  <cp:keywords/>
  <dc:description/>
  <cp:lastModifiedBy>BT02-21</cp:lastModifiedBy>
  <cp:revision>2</cp:revision>
  <dcterms:created xsi:type="dcterms:W3CDTF">2025-12-10T09:36:00Z</dcterms:created>
  <dcterms:modified xsi:type="dcterms:W3CDTF">2025-12-10T09:39:00Z</dcterms:modified>
</cp:coreProperties>
</file>