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165B7" w14:textId="77777777" w:rsidR="00313EFE" w:rsidRPr="00313EFE" w:rsidRDefault="00313EFE" w:rsidP="00313EFE">
      <w:pPr>
        <w:jc w:val="both"/>
        <w:rPr>
          <w:rFonts w:ascii="Palatino Linotype" w:hAnsi="Palatino Linotype"/>
          <w:b/>
          <w:bCs/>
          <w:sz w:val="32"/>
          <w:szCs w:val="24"/>
          <w:lang w:val="vi-VN"/>
        </w:rPr>
      </w:pPr>
      <w:r w:rsidRPr="00313EFE">
        <w:rPr>
          <w:rFonts w:ascii="Palatino Linotype" w:hAnsi="Palatino Linotype"/>
          <w:b/>
          <w:bCs/>
          <w:sz w:val="32"/>
          <w:szCs w:val="24"/>
          <w:lang w:val="vi-VN"/>
        </w:rPr>
        <w:t>Measuring ESG Success with Metrics</w:t>
      </w:r>
    </w:p>
    <w:p w14:paraId="4CD7E6E9" w14:textId="01995901" w:rsidR="00313EFE" w:rsidRPr="00313EFE" w:rsidRDefault="00313EFE" w:rsidP="00313EFE">
      <w:pPr>
        <w:jc w:val="both"/>
        <w:rPr>
          <w:rFonts w:ascii="Palatino Linotype" w:hAnsi="Palatino Linotype"/>
          <w:lang w:val="vi-VN"/>
        </w:rPr>
      </w:pPr>
      <w:r w:rsidRPr="00313EFE">
        <w:rPr>
          <w:rFonts w:ascii="Palatino Linotype" w:hAnsi="Palatino Linotype"/>
          <w:lang w:val="vi-VN"/>
        </w:rPr>
        <w:drawing>
          <wp:inline distT="0" distB="0" distL="0" distR="0" wp14:anchorId="5C2F6579" wp14:editId="74FA1EE1">
            <wp:extent cx="6120765" cy="1657985"/>
            <wp:effectExtent l="0" t="0" r="0" b="0"/>
            <wp:docPr id="1037716399" name="Picture 4" descr="Decorative banner image that reads, &quot;Measuring ESG success with metric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corative banner image that reads, &quot;Measuring ESG success with metrics&quo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20765" cy="1657985"/>
                    </a:xfrm>
                    <a:prstGeom prst="rect">
                      <a:avLst/>
                    </a:prstGeom>
                    <a:noFill/>
                    <a:ln>
                      <a:noFill/>
                    </a:ln>
                  </pic:spPr>
                </pic:pic>
              </a:graphicData>
            </a:graphic>
          </wp:inline>
        </w:drawing>
      </w:r>
    </w:p>
    <w:p w14:paraId="11C252C9" w14:textId="77777777" w:rsidR="00313EFE" w:rsidRPr="00313EFE" w:rsidRDefault="00313EFE" w:rsidP="00313EFE">
      <w:pPr>
        <w:jc w:val="both"/>
        <w:rPr>
          <w:rFonts w:ascii="Palatino Linotype" w:hAnsi="Palatino Linotype"/>
          <w:b/>
          <w:bCs/>
          <w:lang w:val="vi-VN"/>
        </w:rPr>
      </w:pPr>
      <w:r w:rsidRPr="00313EFE">
        <w:rPr>
          <w:rFonts w:ascii="Palatino Linotype" w:hAnsi="Palatino Linotype"/>
          <w:b/>
          <w:bCs/>
          <w:lang w:val="vi-VN"/>
        </w:rPr>
        <w:t>Lack of Metrics</w:t>
      </w:r>
    </w:p>
    <w:p w14:paraId="66EEB033" w14:textId="77777777" w:rsidR="00313EFE" w:rsidRPr="00313EFE" w:rsidRDefault="00313EFE" w:rsidP="00313EFE">
      <w:pPr>
        <w:jc w:val="both"/>
        <w:rPr>
          <w:rFonts w:ascii="Palatino Linotype" w:hAnsi="Palatino Linotype"/>
          <w:lang w:val="vi-VN"/>
        </w:rPr>
      </w:pPr>
      <w:r w:rsidRPr="00313EFE">
        <w:rPr>
          <w:rFonts w:ascii="Palatino Linotype" w:hAnsi="Palatino Linotype"/>
          <w:lang w:val="vi-VN"/>
        </w:rPr>
        <w:t>A lack of ESG metrics is a challenge both for ESG businesses and investors. Reasons for this problem are manifold:  </w:t>
      </w:r>
    </w:p>
    <w:p w14:paraId="6DEA83CB" w14:textId="59F0F4A3" w:rsidR="00313EFE" w:rsidRPr="00313EFE" w:rsidRDefault="00313EFE" w:rsidP="00313EFE">
      <w:pPr>
        <w:jc w:val="both"/>
        <w:rPr>
          <w:rFonts w:ascii="Palatino Linotype" w:hAnsi="Palatino Linotype"/>
          <w:lang w:val="vi-VN"/>
        </w:rPr>
      </w:pPr>
      <w:r w:rsidRPr="00313EFE">
        <w:rPr>
          <w:rFonts w:ascii="Palatino Linotype" w:hAnsi="Palatino Linotype"/>
          <w:lang w:val="vi-VN"/>
        </w:rPr>
        <w:drawing>
          <wp:inline distT="0" distB="0" distL="0" distR="0" wp14:anchorId="2154B6B1" wp14:editId="5869FC1F">
            <wp:extent cx="6120765" cy="1456055"/>
            <wp:effectExtent l="0" t="0" r="0" b="0"/>
            <wp:docPr id="1230961975" name="Picture 3" descr="Decorative graphic with 4 icons: Definition of ESG, ESG Framework, ESG data, Corporate relev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corative graphic with 4 icons: Definition of ESG, ESG Framework, ESG data, Corporate relevanc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20765" cy="1456055"/>
                    </a:xfrm>
                    <a:prstGeom prst="rect">
                      <a:avLst/>
                    </a:prstGeom>
                    <a:noFill/>
                    <a:ln>
                      <a:noFill/>
                    </a:ln>
                  </pic:spPr>
                </pic:pic>
              </a:graphicData>
            </a:graphic>
          </wp:inline>
        </w:drawing>
      </w:r>
    </w:p>
    <w:p w14:paraId="58CEF8D5" w14:textId="77777777" w:rsidR="00313EFE" w:rsidRPr="00313EFE" w:rsidRDefault="00313EFE" w:rsidP="00313EFE">
      <w:pPr>
        <w:numPr>
          <w:ilvl w:val="0"/>
          <w:numId w:val="1"/>
        </w:numPr>
        <w:jc w:val="both"/>
        <w:rPr>
          <w:rFonts w:ascii="Palatino Linotype" w:hAnsi="Palatino Linotype"/>
          <w:lang w:val="vi-VN"/>
        </w:rPr>
      </w:pPr>
      <w:r w:rsidRPr="00313EFE">
        <w:rPr>
          <w:rFonts w:ascii="Palatino Linotype" w:hAnsi="Palatino Linotype"/>
          <w:b/>
          <w:bCs/>
          <w:lang w:val="vi-VN"/>
        </w:rPr>
        <w:t>Definition of ESG</w:t>
      </w:r>
      <w:r w:rsidRPr="00313EFE">
        <w:rPr>
          <w:rFonts w:ascii="Palatino Linotype" w:hAnsi="Palatino Linotype"/>
          <w:lang w:val="vi-VN"/>
        </w:rPr>
        <w:t>. There is no standard definition of what an ESG product or fund is, and different providers use different criteria and methodologies to measure and rate ESG performance.</w:t>
      </w:r>
    </w:p>
    <w:p w14:paraId="172CE769" w14:textId="77777777" w:rsidR="00313EFE" w:rsidRPr="00313EFE" w:rsidRDefault="00313EFE" w:rsidP="00313EFE">
      <w:pPr>
        <w:numPr>
          <w:ilvl w:val="0"/>
          <w:numId w:val="1"/>
        </w:numPr>
        <w:jc w:val="both"/>
        <w:rPr>
          <w:rFonts w:ascii="Palatino Linotype" w:hAnsi="Palatino Linotype"/>
          <w:lang w:val="vi-VN"/>
        </w:rPr>
      </w:pPr>
      <w:r w:rsidRPr="00313EFE">
        <w:rPr>
          <w:rFonts w:ascii="Palatino Linotype" w:hAnsi="Palatino Linotype"/>
          <w:b/>
          <w:bCs/>
          <w:lang w:val="vi-VN"/>
        </w:rPr>
        <w:t>ESG Framework</w:t>
      </w:r>
      <w:r w:rsidRPr="00313EFE">
        <w:rPr>
          <w:rFonts w:ascii="Palatino Linotype" w:hAnsi="Palatino Linotype"/>
          <w:lang w:val="vi-VN"/>
        </w:rPr>
        <w:t>. There is an oversupply of tools and frameworks for ESG measurement and reporting, which can create confusion and inconsistency among users and stakeholders.</w:t>
      </w:r>
    </w:p>
    <w:p w14:paraId="30B66D6E" w14:textId="77777777" w:rsidR="00313EFE" w:rsidRPr="00313EFE" w:rsidRDefault="00313EFE" w:rsidP="00313EFE">
      <w:pPr>
        <w:numPr>
          <w:ilvl w:val="0"/>
          <w:numId w:val="1"/>
        </w:numPr>
        <w:jc w:val="both"/>
        <w:rPr>
          <w:rFonts w:ascii="Palatino Linotype" w:hAnsi="Palatino Linotype"/>
          <w:lang w:val="vi-VN"/>
        </w:rPr>
      </w:pPr>
      <w:r w:rsidRPr="00313EFE">
        <w:rPr>
          <w:rFonts w:ascii="Palatino Linotype" w:hAnsi="Palatino Linotype"/>
          <w:b/>
          <w:bCs/>
          <w:lang w:val="vi-VN"/>
        </w:rPr>
        <w:t>ESG Data</w:t>
      </w:r>
      <w:r w:rsidRPr="00313EFE">
        <w:rPr>
          <w:rFonts w:ascii="Palatino Linotype" w:hAnsi="Palatino Linotype"/>
          <w:lang w:val="vi-VN"/>
        </w:rPr>
        <w:t>. There is a gap between the availability and quality of ESG data, especially for social and governance aspects, which are often more qualitative and subjective than environmental aspects.</w:t>
      </w:r>
    </w:p>
    <w:p w14:paraId="6190D6F9" w14:textId="77777777" w:rsidR="00313EFE" w:rsidRPr="00313EFE" w:rsidRDefault="00313EFE" w:rsidP="00313EFE">
      <w:pPr>
        <w:numPr>
          <w:ilvl w:val="0"/>
          <w:numId w:val="1"/>
        </w:numPr>
        <w:jc w:val="both"/>
        <w:rPr>
          <w:rFonts w:ascii="Palatino Linotype" w:hAnsi="Palatino Linotype"/>
          <w:lang w:val="vi-VN"/>
        </w:rPr>
      </w:pPr>
      <w:r w:rsidRPr="00313EFE">
        <w:rPr>
          <w:rFonts w:ascii="Palatino Linotype" w:hAnsi="Palatino Linotype"/>
          <w:b/>
          <w:bCs/>
          <w:lang w:val="vi-VN"/>
        </w:rPr>
        <w:t>Corporate Relevance</w:t>
      </w:r>
      <w:r w:rsidRPr="00313EFE">
        <w:rPr>
          <w:rFonts w:ascii="Palatino Linotype" w:hAnsi="Palatino Linotype"/>
          <w:lang w:val="vi-VN"/>
        </w:rPr>
        <w:t xml:space="preserve">. There is a lack of alignment and integration between ESG metrics and the organization's strategy, values, and goals, which can reduce the relevance and impact of ESG initiatives. </w:t>
      </w:r>
    </w:p>
    <w:p w14:paraId="0C93E946" w14:textId="77777777" w:rsidR="00313EFE" w:rsidRPr="00313EFE" w:rsidRDefault="00313EFE" w:rsidP="00313EFE">
      <w:pPr>
        <w:jc w:val="both"/>
        <w:rPr>
          <w:rFonts w:ascii="Palatino Linotype" w:hAnsi="Palatino Linotype"/>
          <w:b/>
          <w:bCs/>
          <w:lang w:val="vi-VN"/>
        </w:rPr>
      </w:pPr>
      <w:r w:rsidRPr="00313EFE">
        <w:rPr>
          <w:rFonts w:ascii="Palatino Linotype" w:hAnsi="Palatino Linotype"/>
          <w:b/>
          <w:bCs/>
          <w:lang w:val="vi-VN"/>
        </w:rPr>
        <w:lastRenderedPageBreak/>
        <w:t>Solving the Lack of Metrics</w:t>
      </w:r>
    </w:p>
    <w:p w14:paraId="2168DB9A" w14:textId="77777777" w:rsidR="00313EFE" w:rsidRPr="00313EFE" w:rsidRDefault="00313EFE" w:rsidP="00313EFE">
      <w:pPr>
        <w:jc w:val="both"/>
        <w:rPr>
          <w:rFonts w:ascii="Palatino Linotype" w:hAnsi="Palatino Linotype"/>
          <w:lang w:val="vi-VN"/>
        </w:rPr>
      </w:pPr>
      <w:r w:rsidRPr="00313EFE">
        <w:rPr>
          <w:rFonts w:ascii="Palatino Linotype" w:hAnsi="Palatino Linotype"/>
          <w:lang w:val="vi-VN"/>
        </w:rPr>
        <w:t>To address this lack of ESG metrics, some possible solutions are: </w:t>
      </w:r>
    </w:p>
    <w:p w14:paraId="4EBD6D20" w14:textId="77777777" w:rsidR="00313EFE" w:rsidRPr="00313EFE" w:rsidRDefault="00313EFE" w:rsidP="00313EFE">
      <w:pPr>
        <w:numPr>
          <w:ilvl w:val="0"/>
          <w:numId w:val="2"/>
        </w:numPr>
        <w:jc w:val="both"/>
        <w:rPr>
          <w:rFonts w:ascii="Palatino Linotype" w:hAnsi="Palatino Linotype"/>
          <w:lang w:val="vi-VN"/>
        </w:rPr>
      </w:pPr>
      <w:r w:rsidRPr="00313EFE">
        <w:rPr>
          <w:rFonts w:ascii="Palatino Linotype" w:hAnsi="Palatino Linotype"/>
          <w:lang w:val="vi-VN"/>
        </w:rPr>
        <w:t>Adopting a common set of standards and principles for ESG measurement and reporting, such as the ones proposed by the International Sustainability Standards Board, governed by IFRS. They are becoming the Standard of Standards, aligning with the major regulations around the world. For instance, in 2024, they will absorb the TCFD monitoring responsibilities.</w:t>
      </w:r>
    </w:p>
    <w:p w14:paraId="541037B8" w14:textId="77777777" w:rsidR="00313EFE" w:rsidRPr="00313EFE" w:rsidRDefault="00313EFE" w:rsidP="00313EFE">
      <w:pPr>
        <w:numPr>
          <w:ilvl w:val="0"/>
          <w:numId w:val="2"/>
        </w:numPr>
        <w:jc w:val="both"/>
        <w:rPr>
          <w:rFonts w:ascii="Palatino Linotype" w:hAnsi="Palatino Linotype"/>
          <w:lang w:val="vi-VN"/>
        </w:rPr>
      </w:pPr>
      <w:r w:rsidRPr="00313EFE">
        <w:rPr>
          <w:rFonts w:ascii="Palatino Linotype" w:hAnsi="Palatino Linotype"/>
          <w:lang w:val="vi-VN"/>
        </w:rPr>
        <w:t>Using a combination of quantitative and qualitative ESG metrics that capture both the inputs and outputs of ESG activities, as well as the outcomes and impacts on stakeholders.</w:t>
      </w:r>
    </w:p>
    <w:p w14:paraId="0D36788C" w14:textId="77777777" w:rsidR="00313EFE" w:rsidRPr="00313EFE" w:rsidRDefault="00313EFE" w:rsidP="00313EFE">
      <w:pPr>
        <w:numPr>
          <w:ilvl w:val="0"/>
          <w:numId w:val="2"/>
        </w:numPr>
        <w:jc w:val="both"/>
        <w:rPr>
          <w:rFonts w:ascii="Palatino Linotype" w:hAnsi="Palatino Linotype"/>
          <w:lang w:val="vi-VN"/>
        </w:rPr>
      </w:pPr>
      <w:r w:rsidRPr="00313EFE">
        <w:rPr>
          <w:rFonts w:ascii="Palatino Linotype" w:hAnsi="Palatino Linotype"/>
          <w:lang w:val="vi-VN"/>
        </w:rPr>
        <w:t>Leveraging technology and platforms that can collect, analyze, and visualize ESG data in a reliable, transparent, and user-friendly way.</w:t>
      </w:r>
    </w:p>
    <w:p w14:paraId="7DBB3925" w14:textId="77777777" w:rsidR="00313EFE" w:rsidRPr="00313EFE" w:rsidRDefault="00313EFE" w:rsidP="00313EFE">
      <w:pPr>
        <w:numPr>
          <w:ilvl w:val="0"/>
          <w:numId w:val="2"/>
        </w:numPr>
        <w:jc w:val="both"/>
        <w:rPr>
          <w:rFonts w:ascii="Palatino Linotype" w:hAnsi="Palatino Linotype"/>
          <w:lang w:val="vi-VN"/>
        </w:rPr>
      </w:pPr>
      <w:r w:rsidRPr="00313EFE">
        <w:rPr>
          <w:rFonts w:ascii="Palatino Linotype" w:hAnsi="Palatino Linotype"/>
          <w:lang w:val="vi-VN"/>
        </w:rPr>
        <w:t>Aligning ESG metrics with the organization's vision, purpose, and value proposition, and communicating them clearly to internal and external audiences.</w:t>
      </w:r>
    </w:p>
    <w:p w14:paraId="128C39AE" w14:textId="77777777" w:rsidR="00313EFE" w:rsidRPr="00313EFE" w:rsidRDefault="00313EFE" w:rsidP="00313EFE">
      <w:pPr>
        <w:jc w:val="both"/>
        <w:rPr>
          <w:rFonts w:ascii="Palatino Linotype" w:hAnsi="Palatino Linotype"/>
          <w:lang w:val="vi-VN"/>
        </w:rPr>
      </w:pPr>
      <w:r w:rsidRPr="00313EFE">
        <w:rPr>
          <w:rFonts w:ascii="Palatino Linotype" w:hAnsi="Palatino Linotype"/>
          <w:lang w:val="vi-VN"/>
        </w:rPr>
        <w:t> These steps can help the business improve its credibility, accountability, and ESG performance. </w:t>
      </w:r>
    </w:p>
    <w:p w14:paraId="4E9698C7" w14:textId="77777777" w:rsidR="00CF4886" w:rsidRPr="00313EFE" w:rsidRDefault="00CF4886" w:rsidP="00313EFE">
      <w:pPr>
        <w:jc w:val="both"/>
        <w:rPr>
          <w:rFonts w:ascii="Palatino Linotype" w:hAnsi="Palatino Linotype"/>
        </w:rPr>
      </w:pPr>
    </w:p>
    <w:sectPr w:rsidR="00CF4886" w:rsidRPr="00313EFE" w:rsidSect="00C85D61">
      <w:pgSz w:w="11907" w:h="16840" w:code="9"/>
      <w:pgMar w:top="1701" w:right="1134" w:bottom="1134" w:left="1134"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anom PV">
    <w:panose1 w:val="02000000000000000000"/>
    <w:charset w:val="80"/>
    <w:family w:val="auto"/>
    <w:pitch w:val="variable"/>
    <w:sig w:usb0="20000287" w:usb1="2ADF3C10" w:usb2="00000016" w:usb3="00000000" w:csb0="00060107"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embedRegular r:id="rId1" w:fontKey="{50925C12-D6DD-4102-854E-86626219159C}"/>
    <w:embedBold r:id="rId2" w:fontKey="{6FED031B-9ED6-41E0-9E90-A0EB2A0BE5F1}"/>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7611F"/>
    <w:multiLevelType w:val="multilevel"/>
    <w:tmpl w:val="3CB6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FBF21E0"/>
    <w:multiLevelType w:val="multilevel"/>
    <w:tmpl w:val="A626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151269">
    <w:abstractNumId w:val="0"/>
  </w:num>
  <w:num w:numId="2" w16cid:durableId="246965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drawingGridHorizontalSpacing w:val="110"/>
  <w:displayHorizontalDrawingGridEvery w:val="2"/>
  <w:displayVerticalDrawingGridEvery w:val="2"/>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EFE"/>
    <w:rsid w:val="00043159"/>
    <w:rsid w:val="000D76D2"/>
    <w:rsid w:val="00135354"/>
    <w:rsid w:val="001A4A8F"/>
    <w:rsid w:val="00226859"/>
    <w:rsid w:val="002B06EB"/>
    <w:rsid w:val="002C7714"/>
    <w:rsid w:val="002E11FF"/>
    <w:rsid w:val="00313EFE"/>
    <w:rsid w:val="00422BAE"/>
    <w:rsid w:val="00534847"/>
    <w:rsid w:val="005A7366"/>
    <w:rsid w:val="005D125A"/>
    <w:rsid w:val="005F1509"/>
    <w:rsid w:val="006B3A0E"/>
    <w:rsid w:val="006F6010"/>
    <w:rsid w:val="007314C6"/>
    <w:rsid w:val="00826A98"/>
    <w:rsid w:val="00A1565C"/>
    <w:rsid w:val="00A565F2"/>
    <w:rsid w:val="00A731E6"/>
    <w:rsid w:val="00AC2453"/>
    <w:rsid w:val="00B22B23"/>
    <w:rsid w:val="00B47B94"/>
    <w:rsid w:val="00BF6FCA"/>
    <w:rsid w:val="00C17186"/>
    <w:rsid w:val="00C85D61"/>
    <w:rsid w:val="00CA3E8F"/>
    <w:rsid w:val="00CF4886"/>
    <w:rsid w:val="00D2217E"/>
    <w:rsid w:val="00DA1E3F"/>
    <w:rsid w:val="00E2114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FFA2A"/>
  <w15:chartTrackingRefBased/>
  <w15:docId w15:val="{ACBA27FC-B386-482B-8FC5-FFDDE11B8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Hanom PV" w:hAnsiTheme="minorHAnsi" w:cstheme="minorBidi"/>
        <w:kern w:val="2"/>
        <w:sz w:val="22"/>
        <w:szCs w:val="22"/>
        <w:lang w:val="vi-VN" w:eastAsia="zh-CN" w:bidi="ar-SA"/>
        <w14:ligatures w14:val="standardContextual"/>
      </w:rPr>
    </w:rPrDefault>
    <w:pPrDefault>
      <w:pPr>
        <w:spacing w:before="120" w:line="360" w:lineRule="atLeast"/>
        <w:ind w:firstLine="45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859"/>
    <w:pPr>
      <w:spacing w:before="0" w:after="200" w:line="276" w:lineRule="auto"/>
      <w:ind w:firstLine="0"/>
      <w:jc w:val="left"/>
    </w:pPr>
    <w:rPr>
      <w:rFonts w:ascii="Hanom PV" w:hAnsi="Hanom PV"/>
      <w:noProof/>
      <w:kern w:val="0"/>
      <w:sz w:val="28"/>
      <w:lang w:val="en-US" w:eastAsia="en-US"/>
    </w:rPr>
  </w:style>
  <w:style w:type="paragraph" w:styleId="Heading1">
    <w:name w:val="heading 1"/>
    <w:basedOn w:val="Normal"/>
    <w:next w:val="Normal"/>
    <w:link w:val="Heading1Char"/>
    <w:uiPriority w:val="9"/>
    <w:qFormat/>
    <w:rsid w:val="00313E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3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3EFE"/>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313EF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13EF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13EF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13EF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3EF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3EF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semiHidden/>
    <w:unhideWhenUsed/>
    <w:rsid w:val="00B22B23"/>
    <w:rPr>
      <w:rFonts w:asciiTheme="majorHAnsi" w:hAnsiTheme="majorHAnsi"/>
      <w:b/>
      <w:sz w:val="24"/>
    </w:rPr>
  </w:style>
  <w:style w:type="paragraph" w:styleId="TOC1">
    <w:name w:val="toc 1"/>
    <w:aliases w:val="MUC LUC PTTY"/>
    <w:basedOn w:val="Normal"/>
    <w:next w:val="Normal"/>
    <w:autoRedefine/>
    <w:uiPriority w:val="39"/>
    <w:semiHidden/>
    <w:unhideWhenUsed/>
    <w:rsid w:val="00B22B23"/>
    <w:rPr>
      <w:rFonts w:asciiTheme="majorHAnsi" w:hAnsiTheme="majorHAnsi"/>
      <w:b/>
      <w:sz w:val="24"/>
    </w:rPr>
  </w:style>
  <w:style w:type="paragraph" w:styleId="TOC3">
    <w:name w:val="toc 3"/>
    <w:basedOn w:val="Normal"/>
    <w:next w:val="Normal"/>
    <w:autoRedefine/>
    <w:uiPriority w:val="39"/>
    <w:semiHidden/>
    <w:unhideWhenUsed/>
    <w:rsid w:val="00B22B23"/>
    <w:rPr>
      <w:rFonts w:asciiTheme="majorHAnsi" w:hAnsiTheme="majorHAnsi"/>
      <w:sz w:val="24"/>
    </w:rPr>
  </w:style>
  <w:style w:type="paragraph" w:customStyle="1" w:styleId="TIU1">
    <w:name w:val="TIÊU ĐỀ 1"/>
    <w:basedOn w:val="Title"/>
    <w:link w:val="TIU1Char"/>
    <w:qFormat/>
    <w:rsid w:val="006B3A0E"/>
    <w:pPr>
      <w:spacing w:after="120" w:line="320" w:lineRule="atLeast"/>
      <w:contextualSpacing w:val="0"/>
      <w:jc w:val="center"/>
      <w:outlineLvl w:val="0"/>
    </w:pPr>
    <w:rPr>
      <w:rFonts w:ascii="Times New Roman" w:eastAsia="SimSun" w:hAnsi="Times New Roman" w:cs="Times New Roman"/>
      <w:b/>
      <w:bCs/>
      <w:spacing w:val="0"/>
      <w:sz w:val="28"/>
      <w:szCs w:val="32"/>
      <w:lang w:val="vi-VN"/>
    </w:rPr>
  </w:style>
  <w:style w:type="character" w:customStyle="1" w:styleId="TIU1Char">
    <w:name w:val="TIÊU ĐỀ 1 Char"/>
    <w:basedOn w:val="DefaultParagraphFont"/>
    <w:link w:val="TIU1"/>
    <w:rsid w:val="006B3A0E"/>
    <w:rPr>
      <w:rFonts w:ascii="Times New Roman" w:eastAsia="SimSun" w:hAnsi="Times New Roman" w:cs="Times New Roman"/>
      <w:b/>
      <w:bCs/>
      <w:kern w:val="28"/>
      <w:sz w:val="28"/>
      <w:szCs w:val="32"/>
      <w:lang w:eastAsia="zh-TW"/>
    </w:rPr>
  </w:style>
  <w:style w:type="paragraph" w:styleId="Title">
    <w:name w:val="Title"/>
    <w:basedOn w:val="Normal"/>
    <w:next w:val="Normal"/>
    <w:link w:val="TitleChar"/>
    <w:uiPriority w:val="10"/>
    <w:qFormat/>
    <w:rsid w:val="006B3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A0E"/>
    <w:rPr>
      <w:rFonts w:asciiTheme="majorHAnsi" w:eastAsiaTheme="majorEastAsia" w:hAnsiTheme="majorHAnsi" w:cstheme="majorBidi"/>
      <w:noProof/>
      <w:spacing w:val="-10"/>
      <w:kern w:val="28"/>
      <w:sz w:val="56"/>
      <w:szCs w:val="56"/>
      <w:lang w:val="en-US" w:eastAsia="zh-TW"/>
    </w:rPr>
  </w:style>
  <w:style w:type="character" w:customStyle="1" w:styleId="Heading1Char">
    <w:name w:val="Heading 1 Char"/>
    <w:basedOn w:val="DefaultParagraphFont"/>
    <w:link w:val="Heading1"/>
    <w:uiPriority w:val="9"/>
    <w:rsid w:val="00313EFE"/>
    <w:rPr>
      <w:rFonts w:asciiTheme="majorHAnsi" w:eastAsiaTheme="majorEastAsia" w:hAnsiTheme="majorHAnsi" w:cstheme="majorBidi"/>
      <w:noProof/>
      <w:color w:val="0F4761" w:themeColor="accent1" w:themeShade="BF"/>
      <w:kern w:val="0"/>
      <w:sz w:val="40"/>
      <w:szCs w:val="40"/>
      <w:lang w:val="en-US" w:eastAsia="en-US"/>
    </w:rPr>
  </w:style>
  <w:style w:type="character" w:customStyle="1" w:styleId="Heading2Char">
    <w:name w:val="Heading 2 Char"/>
    <w:basedOn w:val="DefaultParagraphFont"/>
    <w:link w:val="Heading2"/>
    <w:uiPriority w:val="9"/>
    <w:semiHidden/>
    <w:rsid w:val="00313EFE"/>
    <w:rPr>
      <w:rFonts w:asciiTheme="majorHAnsi" w:eastAsiaTheme="majorEastAsia" w:hAnsiTheme="majorHAnsi" w:cstheme="majorBidi"/>
      <w:noProof/>
      <w:color w:val="0F4761" w:themeColor="accent1" w:themeShade="BF"/>
      <w:kern w:val="0"/>
      <w:sz w:val="32"/>
      <w:szCs w:val="32"/>
      <w:lang w:val="en-US" w:eastAsia="en-US"/>
    </w:rPr>
  </w:style>
  <w:style w:type="character" w:customStyle="1" w:styleId="Heading3Char">
    <w:name w:val="Heading 3 Char"/>
    <w:basedOn w:val="DefaultParagraphFont"/>
    <w:link w:val="Heading3"/>
    <w:uiPriority w:val="9"/>
    <w:semiHidden/>
    <w:rsid w:val="00313EFE"/>
    <w:rPr>
      <w:rFonts w:eastAsiaTheme="majorEastAsia" w:cstheme="majorBidi"/>
      <w:noProof/>
      <w:color w:val="0F4761" w:themeColor="accent1" w:themeShade="BF"/>
      <w:kern w:val="0"/>
      <w:sz w:val="28"/>
      <w:szCs w:val="28"/>
      <w:lang w:val="en-US" w:eastAsia="en-US"/>
    </w:rPr>
  </w:style>
  <w:style w:type="character" w:customStyle="1" w:styleId="Heading4Char">
    <w:name w:val="Heading 4 Char"/>
    <w:basedOn w:val="DefaultParagraphFont"/>
    <w:link w:val="Heading4"/>
    <w:uiPriority w:val="9"/>
    <w:semiHidden/>
    <w:rsid w:val="00313EFE"/>
    <w:rPr>
      <w:rFonts w:eastAsiaTheme="majorEastAsia" w:cstheme="majorBidi"/>
      <w:i/>
      <w:iCs/>
      <w:noProof/>
      <w:color w:val="0F4761" w:themeColor="accent1" w:themeShade="BF"/>
      <w:kern w:val="0"/>
      <w:sz w:val="28"/>
      <w:lang w:val="en-US" w:eastAsia="en-US"/>
    </w:rPr>
  </w:style>
  <w:style w:type="character" w:customStyle="1" w:styleId="Heading5Char">
    <w:name w:val="Heading 5 Char"/>
    <w:basedOn w:val="DefaultParagraphFont"/>
    <w:link w:val="Heading5"/>
    <w:uiPriority w:val="9"/>
    <w:semiHidden/>
    <w:rsid w:val="00313EFE"/>
    <w:rPr>
      <w:rFonts w:eastAsiaTheme="majorEastAsia" w:cstheme="majorBidi"/>
      <w:noProof/>
      <w:color w:val="0F4761" w:themeColor="accent1" w:themeShade="BF"/>
      <w:kern w:val="0"/>
      <w:sz w:val="28"/>
      <w:lang w:val="en-US" w:eastAsia="en-US"/>
    </w:rPr>
  </w:style>
  <w:style w:type="character" w:customStyle="1" w:styleId="Heading6Char">
    <w:name w:val="Heading 6 Char"/>
    <w:basedOn w:val="DefaultParagraphFont"/>
    <w:link w:val="Heading6"/>
    <w:uiPriority w:val="9"/>
    <w:semiHidden/>
    <w:rsid w:val="00313EFE"/>
    <w:rPr>
      <w:rFonts w:eastAsiaTheme="majorEastAsia" w:cstheme="majorBidi"/>
      <w:i/>
      <w:iCs/>
      <w:noProof/>
      <w:color w:val="595959" w:themeColor="text1" w:themeTint="A6"/>
      <w:kern w:val="0"/>
      <w:sz w:val="28"/>
      <w:lang w:val="en-US" w:eastAsia="en-US"/>
    </w:rPr>
  </w:style>
  <w:style w:type="character" w:customStyle="1" w:styleId="Heading7Char">
    <w:name w:val="Heading 7 Char"/>
    <w:basedOn w:val="DefaultParagraphFont"/>
    <w:link w:val="Heading7"/>
    <w:uiPriority w:val="9"/>
    <w:semiHidden/>
    <w:rsid w:val="00313EFE"/>
    <w:rPr>
      <w:rFonts w:eastAsiaTheme="majorEastAsia" w:cstheme="majorBidi"/>
      <w:noProof/>
      <w:color w:val="595959" w:themeColor="text1" w:themeTint="A6"/>
      <w:kern w:val="0"/>
      <w:sz w:val="28"/>
      <w:lang w:val="en-US" w:eastAsia="en-US"/>
    </w:rPr>
  </w:style>
  <w:style w:type="character" w:customStyle="1" w:styleId="Heading8Char">
    <w:name w:val="Heading 8 Char"/>
    <w:basedOn w:val="DefaultParagraphFont"/>
    <w:link w:val="Heading8"/>
    <w:uiPriority w:val="9"/>
    <w:semiHidden/>
    <w:rsid w:val="00313EFE"/>
    <w:rPr>
      <w:rFonts w:eastAsiaTheme="majorEastAsia" w:cstheme="majorBidi"/>
      <w:i/>
      <w:iCs/>
      <w:noProof/>
      <w:color w:val="272727" w:themeColor="text1" w:themeTint="D8"/>
      <w:kern w:val="0"/>
      <w:sz w:val="28"/>
      <w:lang w:val="en-US" w:eastAsia="en-US"/>
    </w:rPr>
  </w:style>
  <w:style w:type="character" w:customStyle="1" w:styleId="Heading9Char">
    <w:name w:val="Heading 9 Char"/>
    <w:basedOn w:val="DefaultParagraphFont"/>
    <w:link w:val="Heading9"/>
    <w:uiPriority w:val="9"/>
    <w:semiHidden/>
    <w:rsid w:val="00313EFE"/>
    <w:rPr>
      <w:rFonts w:eastAsiaTheme="majorEastAsia" w:cstheme="majorBidi"/>
      <w:noProof/>
      <w:color w:val="272727" w:themeColor="text1" w:themeTint="D8"/>
      <w:kern w:val="0"/>
      <w:sz w:val="28"/>
      <w:lang w:val="en-US" w:eastAsia="en-US"/>
    </w:rPr>
  </w:style>
  <w:style w:type="paragraph" w:styleId="Subtitle">
    <w:name w:val="Subtitle"/>
    <w:basedOn w:val="Normal"/>
    <w:next w:val="Normal"/>
    <w:link w:val="SubtitleChar"/>
    <w:uiPriority w:val="11"/>
    <w:qFormat/>
    <w:rsid w:val="00313EFE"/>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13EFE"/>
    <w:rPr>
      <w:rFonts w:eastAsiaTheme="majorEastAsia" w:cstheme="majorBidi"/>
      <w:noProof/>
      <w:color w:val="595959" w:themeColor="text1" w:themeTint="A6"/>
      <w:spacing w:val="15"/>
      <w:kern w:val="0"/>
      <w:sz w:val="28"/>
      <w:szCs w:val="28"/>
      <w:lang w:val="en-US" w:eastAsia="en-US"/>
    </w:rPr>
  </w:style>
  <w:style w:type="paragraph" w:styleId="Quote">
    <w:name w:val="Quote"/>
    <w:basedOn w:val="Normal"/>
    <w:next w:val="Normal"/>
    <w:link w:val="QuoteChar"/>
    <w:uiPriority w:val="29"/>
    <w:qFormat/>
    <w:rsid w:val="00313E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3EFE"/>
    <w:rPr>
      <w:rFonts w:ascii="Hanom PV" w:hAnsi="Hanom PV"/>
      <w:i/>
      <w:iCs/>
      <w:noProof/>
      <w:color w:val="404040" w:themeColor="text1" w:themeTint="BF"/>
      <w:kern w:val="0"/>
      <w:sz w:val="28"/>
      <w:lang w:val="en-US" w:eastAsia="en-US"/>
    </w:rPr>
  </w:style>
  <w:style w:type="paragraph" w:styleId="ListParagraph">
    <w:name w:val="List Paragraph"/>
    <w:basedOn w:val="Normal"/>
    <w:uiPriority w:val="34"/>
    <w:qFormat/>
    <w:rsid w:val="00313EFE"/>
    <w:pPr>
      <w:ind w:left="720"/>
      <w:contextualSpacing/>
    </w:pPr>
  </w:style>
  <w:style w:type="character" w:styleId="IntenseEmphasis">
    <w:name w:val="Intense Emphasis"/>
    <w:basedOn w:val="DefaultParagraphFont"/>
    <w:uiPriority w:val="21"/>
    <w:qFormat/>
    <w:rsid w:val="00313EFE"/>
    <w:rPr>
      <w:i/>
      <w:iCs/>
      <w:color w:val="0F4761" w:themeColor="accent1" w:themeShade="BF"/>
    </w:rPr>
  </w:style>
  <w:style w:type="paragraph" w:styleId="IntenseQuote">
    <w:name w:val="Intense Quote"/>
    <w:basedOn w:val="Normal"/>
    <w:next w:val="Normal"/>
    <w:link w:val="IntenseQuoteChar"/>
    <w:uiPriority w:val="30"/>
    <w:qFormat/>
    <w:rsid w:val="00313E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EFE"/>
    <w:rPr>
      <w:rFonts w:ascii="Hanom PV" w:hAnsi="Hanom PV"/>
      <w:i/>
      <w:iCs/>
      <w:noProof/>
      <w:color w:val="0F4761" w:themeColor="accent1" w:themeShade="BF"/>
      <w:kern w:val="0"/>
      <w:sz w:val="28"/>
      <w:lang w:val="en-US" w:eastAsia="en-US"/>
    </w:rPr>
  </w:style>
  <w:style w:type="character" w:styleId="IntenseReference">
    <w:name w:val="Intense Reference"/>
    <w:basedOn w:val="DefaultParagraphFont"/>
    <w:uiPriority w:val="32"/>
    <w:qFormat/>
    <w:rsid w:val="00313E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290</Words>
  <Characters>1659</Characters>
  <Application>Microsoft Office Word</Application>
  <DocSecurity>0</DocSecurity>
  <Lines>13</Lines>
  <Paragraphs>3</Paragraphs>
  <ScaleCrop>false</ScaleCrop>
  <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BT02-21</dc:creator>
  <cp:keywords/>
  <dc:description/>
  <cp:lastModifiedBy>BT02-21</cp:lastModifiedBy>
  <cp:revision>1</cp:revision>
  <dcterms:created xsi:type="dcterms:W3CDTF">2025-12-10T09:39:00Z</dcterms:created>
  <dcterms:modified xsi:type="dcterms:W3CDTF">2025-12-10T09:40:00Z</dcterms:modified>
</cp:coreProperties>
</file>