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4EF10" w14:textId="77777777" w:rsidR="002E37BF" w:rsidRPr="002E37BF" w:rsidRDefault="002E37BF" w:rsidP="002E37BF">
      <w:pPr>
        <w:rPr>
          <w:b/>
          <w:bCs/>
          <w:sz w:val="32"/>
          <w:szCs w:val="24"/>
          <w:lang w:val="vi-VN"/>
        </w:rPr>
      </w:pPr>
      <w:r w:rsidRPr="002E37BF">
        <w:rPr>
          <w:b/>
          <w:bCs/>
          <w:sz w:val="32"/>
          <w:szCs w:val="24"/>
          <w:lang w:val="vi-VN"/>
        </w:rPr>
        <w:t>Let's Recap</w:t>
      </w:r>
    </w:p>
    <w:p w14:paraId="30FC3E27" w14:textId="5BA15089" w:rsidR="002E37BF" w:rsidRPr="002E37BF" w:rsidRDefault="002E37BF" w:rsidP="002E37BF">
      <w:pPr>
        <w:rPr>
          <w:lang w:val="vi-VN"/>
        </w:rPr>
      </w:pPr>
      <w:r w:rsidRPr="002E37BF">
        <w:rPr>
          <w:lang w:val="vi-VN"/>
        </w:rPr>
        <w:drawing>
          <wp:inline distT="0" distB="0" distL="0" distR="0" wp14:anchorId="65959293" wp14:editId="3B9DE6A0">
            <wp:extent cx="6120765" cy="1657985"/>
            <wp:effectExtent l="0" t="0" r="0" b="0"/>
            <wp:docPr id="2128501505" name="Picture 2" descr="Decorative banner image that reads, &quot;Let's Reca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corative banner image that reads, &quot;Let's Recap&quo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57E93622" w14:textId="77777777" w:rsidR="002E37BF" w:rsidRPr="002E37BF" w:rsidRDefault="002E37BF" w:rsidP="002E37BF">
      <w:pPr>
        <w:rPr>
          <w:b/>
          <w:bCs/>
          <w:lang w:val="vi-VN"/>
        </w:rPr>
      </w:pPr>
      <w:r w:rsidRPr="002E37BF">
        <w:rPr>
          <w:b/>
          <w:bCs/>
          <w:lang w:val="vi-VN"/>
        </w:rPr>
        <w:t>Key Takeaways</w:t>
      </w:r>
    </w:p>
    <w:p w14:paraId="28CE99A2" w14:textId="77777777" w:rsidR="002E37BF" w:rsidRPr="002E37BF" w:rsidRDefault="002E37BF" w:rsidP="002E37BF">
      <w:pPr>
        <w:rPr>
          <w:b/>
          <w:bCs/>
          <w:lang w:val="vi-VN"/>
        </w:rPr>
      </w:pPr>
      <w:r w:rsidRPr="002E37BF">
        <w:rPr>
          <w:b/>
          <w:bCs/>
          <w:lang w:val="vi-VN"/>
        </w:rPr>
        <w:t>In this course, we’ve seen some barriers to ESG, for instance:</w:t>
      </w:r>
    </w:p>
    <w:p w14:paraId="18E8A92E" w14:textId="77777777" w:rsidR="002E37BF" w:rsidRPr="002E37BF" w:rsidRDefault="002E37BF" w:rsidP="002E37BF">
      <w:pPr>
        <w:numPr>
          <w:ilvl w:val="0"/>
          <w:numId w:val="1"/>
        </w:numPr>
        <w:rPr>
          <w:lang w:val="vi-VN"/>
        </w:rPr>
      </w:pPr>
      <w:r w:rsidRPr="002E37BF">
        <w:rPr>
          <w:lang w:val="vi-VN"/>
        </w:rPr>
        <w:t>Balancing the interests and expectations of different types of stakeholders, such as investors, customers, employees, regulators, and communities.</w:t>
      </w:r>
    </w:p>
    <w:p w14:paraId="30AF0E92" w14:textId="77777777" w:rsidR="002E37BF" w:rsidRPr="002E37BF" w:rsidRDefault="002E37BF" w:rsidP="002E37BF">
      <w:pPr>
        <w:numPr>
          <w:ilvl w:val="0"/>
          <w:numId w:val="1"/>
        </w:numPr>
        <w:rPr>
          <w:lang w:val="vi-VN"/>
        </w:rPr>
      </w:pPr>
      <w:r w:rsidRPr="002E37BF">
        <w:rPr>
          <w:lang w:val="vi-VN"/>
        </w:rPr>
        <w:t>Finding the optimal trade-off between ESG objectives and financial performance, competitiveness, and growth.</w:t>
      </w:r>
    </w:p>
    <w:p w14:paraId="46CECE1B" w14:textId="77777777" w:rsidR="002E37BF" w:rsidRPr="002E37BF" w:rsidRDefault="002E37BF" w:rsidP="002E37BF">
      <w:pPr>
        <w:numPr>
          <w:ilvl w:val="0"/>
          <w:numId w:val="1"/>
        </w:numPr>
        <w:rPr>
          <w:lang w:val="vi-VN"/>
        </w:rPr>
      </w:pPr>
      <w:r w:rsidRPr="002E37BF">
        <w:rPr>
          <w:lang w:val="vi-VN"/>
        </w:rPr>
        <w:t>Measuring and reporting on ESG performance and impact in a consistent, transparent, and credible way.</w:t>
      </w:r>
    </w:p>
    <w:p w14:paraId="06C5BE33" w14:textId="77777777" w:rsidR="002E37BF" w:rsidRPr="002E37BF" w:rsidRDefault="002E37BF" w:rsidP="002E37BF">
      <w:pPr>
        <w:numPr>
          <w:ilvl w:val="0"/>
          <w:numId w:val="1"/>
        </w:numPr>
        <w:rPr>
          <w:lang w:val="vi-VN"/>
        </w:rPr>
      </w:pPr>
      <w:r w:rsidRPr="002E37BF">
        <w:rPr>
          <w:lang w:val="vi-VN"/>
        </w:rPr>
        <w:t>Managing the ESG risks and opportunities in the supply chain, operations, and markets.</w:t>
      </w:r>
    </w:p>
    <w:p w14:paraId="6B1E5C94" w14:textId="77777777" w:rsidR="002E37BF" w:rsidRPr="002E37BF" w:rsidRDefault="002E37BF" w:rsidP="002E37BF">
      <w:pPr>
        <w:numPr>
          <w:ilvl w:val="0"/>
          <w:numId w:val="1"/>
        </w:numPr>
        <w:rPr>
          <w:lang w:val="vi-VN"/>
        </w:rPr>
      </w:pPr>
      <w:r w:rsidRPr="002E37BF">
        <w:rPr>
          <w:lang w:val="vi-VN"/>
        </w:rPr>
        <w:t>Aligning the ESG strategy with the corporate purpose, vision, and culture.</w:t>
      </w:r>
    </w:p>
    <w:p w14:paraId="06D2807F" w14:textId="77777777" w:rsidR="002E37BF" w:rsidRPr="002E37BF" w:rsidRDefault="002E37BF" w:rsidP="002E37BF">
      <w:pPr>
        <w:rPr>
          <w:b/>
          <w:bCs/>
          <w:lang w:val="vi-VN"/>
        </w:rPr>
      </w:pPr>
      <w:r w:rsidRPr="002E37BF">
        <w:rPr>
          <w:b/>
          <w:bCs/>
          <w:lang w:val="vi-VN"/>
        </w:rPr>
        <w:t>We’ve also considered some ESG solutions, for instance:</w:t>
      </w:r>
    </w:p>
    <w:p w14:paraId="54983CCF" w14:textId="77777777" w:rsidR="002E37BF" w:rsidRPr="002E37BF" w:rsidRDefault="002E37BF" w:rsidP="002E37BF">
      <w:pPr>
        <w:numPr>
          <w:ilvl w:val="0"/>
          <w:numId w:val="2"/>
        </w:numPr>
        <w:rPr>
          <w:lang w:val="vi-VN"/>
        </w:rPr>
      </w:pPr>
      <w:r w:rsidRPr="002E37BF">
        <w:rPr>
          <w:lang w:val="vi-VN"/>
        </w:rPr>
        <w:lastRenderedPageBreak/>
        <w:t>Start developing a clear and compelling vision and purpose for ESG that aligns with the organization's values and mission to avoid greenwashing.</w:t>
      </w:r>
    </w:p>
    <w:p w14:paraId="6F61C5A3" w14:textId="77777777" w:rsidR="002E37BF" w:rsidRPr="002E37BF" w:rsidRDefault="002E37BF" w:rsidP="002E37BF">
      <w:pPr>
        <w:numPr>
          <w:ilvl w:val="0"/>
          <w:numId w:val="2"/>
        </w:numPr>
        <w:rPr>
          <w:lang w:val="vi-VN"/>
        </w:rPr>
      </w:pPr>
      <w:r w:rsidRPr="002E37BF">
        <w:rPr>
          <w:lang w:val="vi-VN"/>
        </w:rPr>
        <w:t>Start engaging and empowering stakeholders at all levels, from employees to customers to investors, to participate in ESG decision-making and implementation to balance the interests and expectations of different stakeholders.</w:t>
      </w:r>
    </w:p>
    <w:p w14:paraId="14E7E266" w14:textId="77777777" w:rsidR="002E37BF" w:rsidRPr="002E37BF" w:rsidRDefault="002E37BF" w:rsidP="002E37BF">
      <w:pPr>
        <w:numPr>
          <w:ilvl w:val="0"/>
          <w:numId w:val="2"/>
        </w:numPr>
        <w:rPr>
          <w:lang w:val="vi-VN"/>
        </w:rPr>
      </w:pPr>
      <w:r w:rsidRPr="002E37BF">
        <w:rPr>
          <w:lang w:val="vi-VN"/>
        </w:rPr>
        <w:t>Adopting a common set of standards and principles for ESG measurement and reporting, such as the ones proposed by International Sustainability Standards Board, governed by IFRS, to which most standards are converging and aligning. </w:t>
      </w:r>
    </w:p>
    <w:p w14:paraId="1EE510FD" w14:textId="77777777" w:rsidR="002E37BF" w:rsidRPr="002E37BF" w:rsidRDefault="002E37BF" w:rsidP="002E37BF">
      <w:pPr>
        <w:numPr>
          <w:ilvl w:val="0"/>
          <w:numId w:val="2"/>
        </w:numPr>
        <w:rPr>
          <w:lang w:val="vi-VN"/>
        </w:rPr>
      </w:pPr>
      <w:r w:rsidRPr="002E37BF">
        <w:rPr>
          <w:lang w:val="vi-VN"/>
        </w:rPr>
        <w:t>Using a combination of quantitative and qualitative ESG metrics that capture both the inputs and outputs of ESG activities, as well as the outcomes and impacts on stakeholders.</w:t>
      </w:r>
    </w:p>
    <w:p w14:paraId="54C97AA6" w14:textId="77777777" w:rsidR="002E37BF" w:rsidRPr="002E37BF" w:rsidRDefault="002E37BF" w:rsidP="002E37BF">
      <w:pPr>
        <w:rPr>
          <w:b/>
          <w:bCs/>
          <w:lang w:val="vi-VN"/>
        </w:rPr>
      </w:pPr>
      <w:r w:rsidRPr="002E37BF">
        <w:rPr>
          <w:b/>
          <w:bCs/>
          <w:lang w:val="vi-VN"/>
        </w:rPr>
        <w:t>Additional Resources</w:t>
      </w:r>
    </w:p>
    <w:p w14:paraId="507309BF" w14:textId="77777777" w:rsidR="002E37BF" w:rsidRPr="002E37BF" w:rsidRDefault="002E37BF" w:rsidP="002E37BF">
      <w:pPr>
        <w:numPr>
          <w:ilvl w:val="0"/>
          <w:numId w:val="3"/>
        </w:numPr>
        <w:rPr>
          <w:lang w:val="vi-VN"/>
        </w:rPr>
      </w:pPr>
      <w:hyperlink r:id="rId6" w:tgtFrame="_blank" w:history="1">
        <w:r w:rsidRPr="002E37BF">
          <w:rPr>
            <w:rStyle w:val="Hyperlink"/>
            <w:lang w:val="vi-VN"/>
          </w:rPr>
          <w:t>Navigating ESG Compliance with Tighter Regulations</w:t>
        </w:r>
      </w:hyperlink>
    </w:p>
    <w:p w14:paraId="6849BD40" w14:textId="77777777" w:rsidR="002E37BF" w:rsidRPr="002E37BF" w:rsidRDefault="002E37BF" w:rsidP="002E37BF">
      <w:pPr>
        <w:numPr>
          <w:ilvl w:val="0"/>
          <w:numId w:val="3"/>
        </w:numPr>
        <w:rPr>
          <w:lang w:val="vi-VN"/>
        </w:rPr>
      </w:pPr>
      <w:hyperlink r:id="rId7" w:tgtFrame="_blank" w:history="1">
        <w:r w:rsidRPr="002E37BF">
          <w:rPr>
            <w:rStyle w:val="Hyperlink"/>
            <w:lang w:val="vi-VN"/>
          </w:rPr>
          <w:t>Aggregate Confusion: The Divergence of ESG Ratings, by Florian Berg, Julian F Kölbel, Roberto Rigobon</w:t>
        </w:r>
      </w:hyperlink>
    </w:p>
    <w:p w14:paraId="6FEE2A6C" w14:textId="77777777" w:rsidR="002E37BF" w:rsidRPr="002E37BF" w:rsidRDefault="002E37BF" w:rsidP="002E37BF">
      <w:pPr>
        <w:numPr>
          <w:ilvl w:val="0"/>
          <w:numId w:val="3"/>
        </w:numPr>
        <w:rPr>
          <w:lang w:val="vi-VN"/>
        </w:rPr>
      </w:pPr>
      <w:hyperlink r:id="rId8" w:tgtFrame="_blank" w:history="1">
        <w:r w:rsidRPr="002E37BF">
          <w:rPr>
            <w:rStyle w:val="Hyperlink"/>
            <w:lang w:val="vi-VN"/>
          </w:rPr>
          <w:t>ESG Compliance: What Does It Mean and How Can You Achieve It?</w:t>
        </w:r>
      </w:hyperlink>
    </w:p>
    <w:p w14:paraId="1EDE59D6" w14:textId="77777777" w:rsidR="002E37BF" w:rsidRPr="002E37BF" w:rsidRDefault="002E37BF" w:rsidP="002E37BF">
      <w:pPr>
        <w:numPr>
          <w:ilvl w:val="0"/>
          <w:numId w:val="3"/>
        </w:numPr>
        <w:rPr>
          <w:lang w:val="vi-VN"/>
        </w:rPr>
      </w:pPr>
      <w:hyperlink r:id="rId9" w:tgtFrame="_blank" w:history="1">
        <w:r w:rsidRPr="002E37BF">
          <w:rPr>
            <w:rStyle w:val="Hyperlink"/>
            <w:lang w:val="vi-VN"/>
          </w:rPr>
          <w:t>ESG ratings: Status and key issues ahead, by Julien Mazzacurati</w:t>
        </w:r>
      </w:hyperlink>
    </w:p>
    <w:p w14:paraId="6AD783AD" w14:textId="3A5EA762" w:rsidR="00CF4886" w:rsidRPr="002E37BF" w:rsidRDefault="002E37BF" w:rsidP="002E37BF">
      <w:pPr>
        <w:numPr>
          <w:ilvl w:val="0"/>
          <w:numId w:val="3"/>
        </w:numPr>
        <w:rPr>
          <w:lang w:val="vi-VN"/>
        </w:rPr>
      </w:pPr>
      <w:hyperlink r:id="rId10" w:tgtFrame="_blank" w:history="1">
        <w:r w:rsidRPr="002E37BF">
          <w:rPr>
            <w:rStyle w:val="Hyperlink"/>
            <w:lang w:val="vi-VN"/>
          </w:rPr>
          <w:t>What do ESG and Ethics Have in Common?</w:t>
        </w:r>
      </w:hyperlink>
    </w:p>
    <w:sectPr w:rsidR="00CF4886" w:rsidRPr="002E37BF" w:rsidSect="00C85D61">
      <w:pgSz w:w="11907" w:h="16840" w:code="9"/>
      <w:pgMar w:top="1701" w:right="1134" w:bottom="1134"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embedRegular r:id="rId1" w:subsetted="1" w:fontKey="{5DC1F233-6B82-4F9F-9931-9393BE15DCDE}"/>
    <w:embedBold r:id="rId2" w:subsetted="1" w:fontKey="{565B559E-F66A-443D-AE72-8BA401FFB8CA}"/>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55551"/>
    <w:multiLevelType w:val="multilevel"/>
    <w:tmpl w:val="8ECA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591D91"/>
    <w:multiLevelType w:val="multilevel"/>
    <w:tmpl w:val="D990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CA2606"/>
    <w:multiLevelType w:val="multilevel"/>
    <w:tmpl w:val="EEA0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000181">
    <w:abstractNumId w:val="0"/>
  </w:num>
  <w:num w:numId="2" w16cid:durableId="304504890">
    <w:abstractNumId w:val="1"/>
  </w:num>
  <w:num w:numId="3" w16cid:durableId="214778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7BF"/>
    <w:rsid w:val="00043159"/>
    <w:rsid w:val="000D76D2"/>
    <w:rsid w:val="00135354"/>
    <w:rsid w:val="001A4A8F"/>
    <w:rsid w:val="00226859"/>
    <w:rsid w:val="002B06EB"/>
    <w:rsid w:val="002C7714"/>
    <w:rsid w:val="002E11FF"/>
    <w:rsid w:val="002E37BF"/>
    <w:rsid w:val="00422BAE"/>
    <w:rsid w:val="00534847"/>
    <w:rsid w:val="005A7366"/>
    <w:rsid w:val="005D125A"/>
    <w:rsid w:val="005F1509"/>
    <w:rsid w:val="006B3A0E"/>
    <w:rsid w:val="006F6010"/>
    <w:rsid w:val="007314C6"/>
    <w:rsid w:val="00826A98"/>
    <w:rsid w:val="00A1565C"/>
    <w:rsid w:val="00A565F2"/>
    <w:rsid w:val="00A731E6"/>
    <w:rsid w:val="00AC2453"/>
    <w:rsid w:val="00B22B23"/>
    <w:rsid w:val="00B47B94"/>
    <w:rsid w:val="00BF6FCA"/>
    <w:rsid w:val="00C17186"/>
    <w:rsid w:val="00C85D61"/>
    <w:rsid w:val="00CA3E8F"/>
    <w:rsid w:val="00CF4886"/>
    <w:rsid w:val="00D2217E"/>
    <w:rsid w:val="00DA1E3F"/>
    <w:rsid w:val="00E211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8B30C"/>
  <w15:chartTrackingRefBased/>
  <w15:docId w15:val="{B4AD782F-DD59-445D-B9F3-E1F78FD89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2E3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7B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E37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E37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E37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37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37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37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2E37BF"/>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2E37BF"/>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2E37BF"/>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2E37BF"/>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2E37BF"/>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2E37BF"/>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2E37BF"/>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2E37BF"/>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2E37BF"/>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2E37BF"/>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E37BF"/>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2E37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37BF"/>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2E37BF"/>
    <w:pPr>
      <w:ind w:left="720"/>
      <w:contextualSpacing/>
    </w:pPr>
  </w:style>
  <w:style w:type="character" w:styleId="IntenseEmphasis">
    <w:name w:val="Intense Emphasis"/>
    <w:basedOn w:val="DefaultParagraphFont"/>
    <w:uiPriority w:val="21"/>
    <w:qFormat/>
    <w:rsid w:val="002E37BF"/>
    <w:rPr>
      <w:i/>
      <w:iCs/>
      <w:color w:val="0F4761" w:themeColor="accent1" w:themeShade="BF"/>
    </w:rPr>
  </w:style>
  <w:style w:type="paragraph" w:styleId="IntenseQuote">
    <w:name w:val="Intense Quote"/>
    <w:basedOn w:val="Normal"/>
    <w:next w:val="Normal"/>
    <w:link w:val="IntenseQuoteChar"/>
    <w:uiPriority w:val="30"/>
    <w:qFormat/>
    <w:rsid w:val="002E3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7BF"/>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2E37BF"/>
    <w:rPr>
      <w:b/>
      <w:bCs/>
      <w:smallCaps/>
      <w:color w:val="0F4761" w:themeColor="accent1" w:themeShade="BF"/>
      <w:spacing w:val="5"/>
    </w:rPr>
  </w:style>
  <w:style w:type="character" w:styleId="Hyperlink">
    <w:name w:val="Hyperlink"/>
    <w:basedOn w:val="DefaultParagraphFont"/>
    <w:uiPriority w:val="99"/>
    <w:unhideWhenUsed/>
    <w:rsid w:val="002E37BF"/>
    <w:rPr>
      <w:color w:val="467886" w:themeColor="hyperlink"/>
      <w:u w:val="single"/>
    </w:rPr>
  </w:style>
  <w:style w:type="character" w:styleId="UnresolvedMention">
    <w:name w:val="Unresolved Mention"/>
    <w:basedOn w:val="DefaultParagraphFont"/>
    <w:uiPriority w:val="99"/>
    <w:semiHidden/>
    <w:unhideWhenUsed/>
    <w:rsid w:val="002E37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ligent.com/resources/blog/compliance" TargetMode="External"/><Relationship Id="rId3" Type="http://schemas.openxmlformats.org/officeDocument/2006/relationships/settings" Target="settings.xml"/><Relationship Id="rId7" Type="http://schemas.openxmlformats.org/officeDocument/2006/relationships/hyperlink" Target="https://academic.oup.com/rof/article/26/6/1315/6590670?login=fals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cg.com/publications/2022/navigating-esg-compliance-in-an-era-of-tighter-regulation"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scu.edu/ethics/esg/what-do-esg-and-ethics-have-in-common/" TargetMode="External"/><Relationship Id="rId4" Type="http://schemas.openxmlformats.org/officeDocument/2006/relationships/webSettings" Target="webSettings.xml"/><Relationship Id="rId9" Type="http://schemas.openxmlformats.org/officeDocument/2006/relationships/hyperlink" Target="https://www.esma.europa.eu/sites/default/files/trv_2021_1-esg_ratings_status_and_key_issues_ahead.pdf"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344</Words>
  <Characters>1963</Characters>
  <Application>Microsoft Office Word</Application>
  <DocSecurity>0</DocSecurity>
  <Lines>16</Lines>
  <Paragraphs>4</Paragraphs>
  <ScaleCrop>false</ScaleCrop>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1</cp:revision>
  <dcterms:created xsi:type="dcterms:W3CDTF">2025-12-10T09:43:00Z</dcterms:created>
  <dcterms:modified xsi:type="dcterms:W3CDTF">2025-12-10T09:44:00Z</dcterms:modified>
</cp:coreProperties>
</file>