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F624" w14:textId="77777777" w:rsidR="00B85238" w:rsidRPr="00B85238" w:rsidRDefault="00B85238" w:rsidP="00B85238">
      <w:pPr>
        <w:jc w:val="both"/>
        <w:rPr>
          <w:rFonts w:ascii="Palatino Linotype" w:hAnsi="Palatino Linotype"/>
          <w:b/>
          <w:bCs/>
          <w:lang w:val="vi-VN"/>
        </w:rPr>
      </w:pPr>
      <w:r w:rsidRPr="00B85238">
        <w:rPr>
          <w:rFonts w:ascii="Palatino Linotype" w:hAnsi="Palatino Linotype"/>
          <w:b/>
          <w:bCs/>
          <w:lang w:val="vi-VN"/>
        </w:rPr>
        <w:t>How to Tackle Fixed Mindsets</w:t>
      </w:r>
    </w:p>
    <w:p w14:paraId="6074A3A9" w14:textId="499FC571" w:rsidR="00B85238" w:rsidRPr="00B85238" w:rsidRDefault="00B85238" w:rsidP="00B85238">
      <w:pPr>
        <w:jc w:val="both"/>
        <w:rPr>
          <w:rFonts w:ascii="Palatino Linotype" w:hAnsi="Palatino Linotype"/>
          <w:lang w:val="vi-VN"/>
        </w:rPr>
      </w:pPr>
      <w:r w:rsidRPr="009165DD">
        <w:rPr>
          <w:rFonts w:ascii="Palatino Linotype" w:hAnsi="Palatino Linotype"/>
          <w:lang w:val="vi-VN"/>
        </w:rPr>
        <w:drawing>
          <wp:inline distT="0" distB="0" distL="0" distR="0" wp14:anchorId="0131D877" wp14:editId="6EEBC4A2">
            <wp:extent cx="6120765" cy="1657985"/>
            <wp:effectExtent l="0" t="0" r="0" b="0"/>
            <wp:docPr id="149166819" name="Picture 3" descr="Decorative header image that reads, &quot;How to tackle fixed mindset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header image that reads, &quot;How to tackle fixed mindsets&quo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12225E0D" w14:textId="77777777" w:rsidR="00B85238" w:rsidRPr="009165DD" w:rsidRDefault="00B85238" w:rsidP="00B85238">
      <w:pPr>
        <w:jc w:val="both"/>
        <w:rPr>
          <w:rFonts w:ascii="Palatino Linotype" w:hAnsi="Palatino Linotype"/>
        </w:rPr>
      </w:pPr>
      <w:r w:rsidRPr="00B85238">
        <w:rPr>
          <w:rFonts w:ascii="Palatino Linotype" w:hAnsi="Palatino Linotype"/>
          <w:lang w:val="vi-VN"/>
        </w:rPr>
        <w:t>Find out some common attitudes revealing a fixed mindset towards ESG implementation and the answer to each of them</w:t>
      </w:r>
      <w:r w:rsidRPr="009165DD">
        <w:rPr>
          <w:rFonts w:ascii="Palatino Linotype" w:hAnsi="Palatino Linotype"/>
        </w:rPr>
        <w:t>.</w:t>
      </w:r>
    </w:p>
    <w:p w14:paraId="44D3F4E8" w14:textId="6118DEA6" w:rsidR="00B85238" w:rsidRPr="009165DD" w:rsidRDefault="00B85238" w:rsidP="00B85238">
      <w:pPr>
        <w:rPr>
          <w:rFonts w:ascii="Palatino Linotype" w:hAnsi="Palatino Linotype"/>
          <w:lang w:val="vi-VN"/>
        </w:rPr>
        <w:sectPr w:rsidR="00B85238" w:rsidRPr="009165DD" w:rsidSect="00C85D61">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134" w:header="0" w:footer="0" w:gutter="0"/>
          <w:cols w:space="708"/>
          <w:docGrid w:linePitch="360"/>
        </w:sectPr>
      </w:pPr>
      <w:r w:rsidRPr="00B85238">
        <w:rPr>
          <w:rFonts w:ascii="Palatino Linotype" w:hAnsi="Palatino Linotype"/>
          <w:lang w:val="vi-VN"/>
        </w:rPr>
        <w:t>Review each fixed mindset to learn more about how to transform it to a growth mindset.</w:t>
      </w:r>
    </w:p>
    <w:tbl>
      <w:tblPr>
        <w:tblW w:w="15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8420"/>
        <w:gridCol w:w="3650"/>
      </w:tblGrid>
      <w:tr w:rsidR="00B85238" w:rsidRPr="00B85238" w14:paraId="429AFC00" w14:textId="77777777" w:rsidTr="00B85238">
        <w:trPr>
          <w:tblHeader/>
        </w:trPr>
        <w:tc>
          <w:tcPr>
            <w:tcW w:w="0" w:type="auto"/>
            <w:tcMar>
              <w:top w:w="60" w:type="dxa"/>
              <w:left w:w="240" w:type="dxa"/>
              <w:bottom w:w="60" w:type="dxa"/>
              <w:right w:w="240" w:type="dxa"/>
            </w:tcMar>
            <w:hideMark/>
          </w:tcPr>
          <w:p w14:paraId="1A3333A5" w14:textId="77777777" w:rsidR="00B85238" w:rsidRPr="00B85238" w:rsidRDefault="00B85238" w:rsidP="00B85238">
            <w:pPr>
              <w:rPr>
                <w:rFonts w:ascii="Palatino Linotype" w:hAnsi="Palatino Linotype"/>
                <w:b/>
                <w:bCs/>
                <w:lang w:val="vi-VN"/>
              </w:rPr>
            </w:pPr>
            <w:r w:rsidRPr="00B85238">
              <w:rPr>
                <w:rFonts w:ascii="Palatino Linotype" w:hAnsi="Palatino Linotype"/>
                <w:b/>
                <w:bCs/>
                <w:lang w:val="vi-VN"/>
              </w:rPr>
              <w:lastRenderedPageBreak/>
              <w:t>Fixed Mindset</w:t>
            </w:r>
          </w:p>
        </w:tc>
        <w:tc>
          <w:tcPr>
            <w:tcW w:w="8420" w:type="dxa"/>
            <w:tcMar>
              <w:top w:w="60" w:type="dxa"/>
              <w:left w:w="240" w:type="dxa"/>
              <w:bottom w:w="60" w:type="dxa"/>
              <w:right w:w="240" w:type="dxa"/>
            </w:tcMar>
            <w:hideMark/>
          </w:tcPr>
          <w:p w14:paraId="3950FDEF" w14:textId="77777777" w:rsidR="00B85238" w:rsidRPr="00B85238" w:rsidRDefault="00B85238" w:rsidP="00B85238">
            <w:pPr>
              <w:rPr>
                <w:rFonts w:ascii="Palatino Linotype" w:hAnsi="Palatino Linotype"/>
                <w:b/>
                <w:bCs/>
                <w:lang w:val="vi-VN"/>
              </w:rPr>
            </w:pPr>
            <w:r w:rsidRPr="00B85238">
              <w:rPr>
                <w:rFonts w:ascii="Palatino Linotype" w:hAnsi="Palatino Linotype"/>
                <w:b/>
                <w:bCs/>
                <w:lang w:val="vi-VN"/>
              </w:rPr>
              <w:t>Rationale</w:t>
            </w:r>
          </w:p>
        </w:tc>
        <w:tc>
          <w:tcPr>
            <w:tcW w:w="0" w:type="auto"/>
            <w:tcMar>
              <w:top w:w="60" w:type="dxa"/>
              <w:left w:w="240" w:type="dxa"/>
              <w:bottom w:w="60" w:type="dxa"/>
              <w:right w:w="240" w:type="dxa"/>
            </w:tcMar>
            <w:hideMark/>
          </w:tcPr>
          <w:p w14:paraId="732A8E1E" w14:textId="77777777" w:rsidR="00B85238" w:rsidRPr="00B85238" w:rsidRDefault="00B85238" w:rsidP="00B85238">
            <w:pPr>
              <w:rPr>
                <w:rFonts w:ascii="Palatino Linotype" w:hAnsi="Palatino Linotype"/>
                <w:b/>
                <w:bCs/>
                <w:lang w:val="vi-VN"/>
              </w:rPr>
            </w:pPr>
            <w:r w:rsidRPr="00B85238">
              <w:rPr>
                <w:rFonts w:ascii="Palatino Linotype" w:hAnsi="Palatino Linotype"/>
                <w:b/>
                <w:bCs/>
                <w:lang w:val="vi-VN"/>
              </w:rPr>
              <w:t>Growth Mindset</w:t>
            </w:r>
          </w:p>
        </w:tc>
      </w:tr>
      <w:tr w:rsidR="00B85238" w:rsidRPr="00B85238" w14:paraId="1E48086B" w14:textId="77777777" w:rsidTr="00B85238">
        <w:tc>
          <w:tcPr>
            <w:tcW w:w="0" w:type="auto"/>
            <w:tcMar>
              <w:top w:w="60" w:type="dxa"/>
              <w:left w:w="240" w:type="dxa"/>
              <w:bottom w:w="60" w:type="dxa"/>
              <w:right w:w="240" w:type="dxa"/>
            </w:tcMar>
            <w:hideMark/>
          </w:tcPr>
          <w:p w14:paraId="4EC26371"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"I'll decarbonize my business with the technology of the future"</w:t>
            </w:r>
          </w:p>
        </w:tc>
        <w:tc>
          <w:tcPr>
            <w:tcW w:w="8420" w:type="dxa"/>
            <w:tcMar>
              <w:top w:w="60" w:type="dxa"/>
              <w:left w:w="240" w:type="dxa"/>
              <w:bottom w:w="60" w:type="dxa"/>
              <w:right w:w="240" w:type="dxa"/>
            </w:tcMar>
            <w:hideMark/>
          </w:tcPr>
          <w:p w14:paraId="126DBEEB"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This attitude may sound proactive, however, committing to decarbonizing a business with technology that is not yet widely adopted is not a forward-thinking approach towards ESG. In fact, this is a passive mindset that is not in line with the mindset of an urgency to act. Such an approach may lead to miss opportunities to transition to cleaner and sustainable technologies that are currently available. </w:t>
            </w:r>
          </w:p>
          <w:p w14:paraId="1742012F"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According to McKinsey, 70% of technologies required for a net zero world are already available – indeed, most already offer positive net present value.</w:t>
            </w:r>
          </w:p>
        </w:tc>
        <w:tc>
          <w:tcPr>
            <w:tcW w:w="0" w:type="auto"/>
            <w:tcMar>
              <w:top w:w="60" w:type="dxa"/>
              <w:left w:w="240" w:type="dxa"/>
              <w:bottom w:w="60" w:type="dxa"/>
              <w:right w:w="240" w:type="dxa"/>
            </w:tcMar>
            <w:hideMark/>
          </w:tcPr>
          <w:p w14:paraId="5A342A4F"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“I’ll pioneer the use of new technologies; they are just waiting to be scaled up!”</w:t>
            </w:r>
          </w:p>
        </w:tc>
      </w:tr>
      <w:tr w:rsidR="00B85238" w:rsidRPr="00B85238" w14:paraId="34852772" w14:textId="77777777" w:rsidTr="00B85238">
        <w:tc>
          <w:tcPr>
            <w:tcW w:w="0" w:type="auto"/>
            <w:tcMar>
              <w:top w:w="60" w:type="dxa"/>
              <w:left w:w="240" w:type="dxa"/>
              <w:bottom w:w="60" w:type="dxa"/>
              <w:right w:w="240" w:type="dxa"/>
            </w:tcMar>
            <w:hideMark/>
          </w:tcPr>
          <w:p w14:paraId="4C77C40B"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"We need more diversity to improve our numbers"</w:t>
            </w:r>
          </w:p>
        </w:tc>
        <w:tc>
          <w:tcPr>
            <w:tcW w:w="8420" w:type="dxa"/>
            <w:tcMar>
              <w:top w:w="60" w:type="dxa"/>
              <w:left w:w="240" w:type="dxa"/>
              <w:bottom w:w="60" w:type="dxa"/>
              <w:right w:w="240" w:type="dxa"/>
            </w:tcMar>
            <w:hideMark/>
          </w:tcPr>
          <w:p w14:paraId="29A8A54D"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Recognizing that ESG encompasses a range of socially-responsible practices such as diversity and inclusion is not enough. Worse even is to focus only on its numbers.</w:t>
            </w:r>
          </w:p>
          <w:p w14:paraId="45DA4381"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A focus on diversity is essential to improve a company's representation, workplace culture, and innovation while creating an inclusive environment. This can help attract and retain diverse talent, which can strengthen a company's ability to innovate. The Moral AND the Business Case are clear!</w:t>
            </w:r>
          </w:p>
        </w:tc>
        <w:tc>
          <w:tcPr>
            <w:tcW w:w="0" w:type="auto"/>
            <w:tcMar>
              <w:top w:w="60" w:type="dxa"/>
              <w:left w:w="240" w:type="dxa"/>
              <w:bottom w:w="60" w:type="dxa"/>
              <w:right w:w="240" w:type="dxa"/>
            </w:tcMar>
            <w:hideMark/>
          </w:tcPr>
          <w:p w14:paraId="615C7F1B"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“I'll build diverse and inclusive teams because it's the right thing to do, AND it improves creativity and decision-making”</w:t>
            </w:r>
          </w:p>
        </w:tc>
      </w:tr>
      <w:tr w:rsidR="00B85238" w:rsidRPr="00B85238" w14:paraId="2364ECE1" w14:textId="77777777" w:rsidTr="00B85238">
        <w:tc>
          <w:tcPr>
            <w:tcW w:w="0" w:type="auto"/>
            <w:tcMar>
              <w:top w:w="60" w:type="dxa"/>
              <w:left w:w="240" w:type="dxa"/>
              <w:bottom w:w="60" w:type="dxa"/>
              <w:right w:w="240" w:type="dxa"/>
            </w:tcMar>
            <w:hideMark/>
          </w:tcPr>
          <w:p w14:paraId="734704D2"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"We must comply with local laws on water consumption"</w:t>
            </w:r>
          </w:p>
        </w:tc>
        <w:tc>
          <w:tcPr>
            <w:tcW w:w="8420" w:type="dxa"/>
            <w:tcMar>
              <w:top w:w="60" w:type="dxa"/>
              <w:left w:w="240" w:type="dxa"/>
              <w:bottom w:w="60" w:type="dxa"/>
              <w:right w:w="240" w:type="dxa"/>
            </w:tcMar>
            <w:hideMark/>
          </w:tcPr>
          <w:p w14:paraId="0690E647"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This approach to ESG is shaped by mere compliance with regulations. However, it’s missing a key consideration: companies that recognize the challenges posed by water scarcity and adopt sustainable water management practices may gain a competitive advantage by making more efficient use of resources and reducing costs while meeting community needs. Businesses can, and are expected to do more.</w:t>
            </w:r>
          </w:p>
        </w:tc>
        <w:tc>
          <w:tcPr>
            <w:tcW w:w="0" w:type="auto"/>
            <w:tcMar>
              <w:top w:w="60" w:type="dxa"/>
              <w:left w:w="240" w:type="dxa"/>
              <w:bottom w:w="60" w:type="dxa"/>
              <w:right w:w="240" w:type="dxa"/>
            </w:tcMar>
            <w:hideMark/>
          </w:tcPr>
          <w:p w14:paraId="7FDEDA2D"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“How can we bring solutions to the community while doing our core business?”</w:t>
            </w:r>
          </w:p>
        </w:tc>
      </w:tr>
      <w:tr w:rsidR="00B85238" w:rsidRPr="00B85238" w14:paraId="1D87E7CC" w14:textId="77777777" w:rsidTr="00B85238">
        <w:tc>
          <w:tcPr>
            <w:tcW w:w="0" w:type="auto"/>
            <w:tcMar>
              <w:top w:w="60" w:type="dxa"/>
              <w:left w:w="240" w:type="dxa"/>
              <w:bottom w:w="60" w:type="dxa"/>
              <w:right w:w="240" w:type="dxa"/>
            </w:tcMar>
            <w:hideMark/>
          </w:tcPr>
          <w:p w14:paraId="71E04961"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"ESG reporting is a painful burden to get ESG scoring by rating agencies"</w:t>
            </w:r>
          </w:p>
        </w:tc>
        <w:tc>
          <w:tcPr>
            <w:tcW w:w="8420" w:type="dxa"/>
            <w:tcMar>
              <w:top w:w="60" w:type="dxa"/>
              <w:left w:w="240" w:type="dxa"/>
              <w:bottom w:w="60" w:type="dxa"/>
              <w:right w:w="240" w:type="dxa"/>
            </w:tcMar>
            <w:hideMark/>
          </w:tcPr>
          <w:p w14:paraId="446BFFAE"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This negative view towards ESG reporting and the belief that the process is overly complicated can prevent companies from embracing ESG.</w:t>
            </w:r>
          </w:p>
          <w:p w14:paraId="7E3C9059"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ESG reporting is crucial for companies to report on their ESG performance to ESG rating agencies and show accountability and transparency. Most importantly, by acquiring, consolidating and visualizing data in different ways, it can significantly improve the quality of core business decisions.</w:t>
            </w:r>
          </w:p>
        </w:tc>
        <w:tc>
          <w:tcPr>
            <w:tcW w:w="0" w:type="auto"/>
            <w:tcMar>
              <w:top w:w="60" w:type="dxa"/>
              <w:left w:w="240" w:type="dxa"/>
              <w:bottom w:w="60" w:type="dxa"/>
              <w:right w:w="240" w:type="dxa"/>
            </w:tcMar>
            <w:hideMark/>
          </w:tcPr>
          <w:p w14:paraId="747A93E0"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"ESG data has enormous potential to improve our decision making."</w:t>
            </w:r>
          </w:p>
        </w:tc>
      </w:tr>
      <w:tr w:rsidR="00B85238" w:rsidRPr="00B85238" w14:paraId="6469C013" w14:textId="77777777" w:rsidTr="00B85238">
        <w:tc>
          <w:tcPr>
            <w:tcW w:w="0" w:type="auto"/>
            <w:tcMar>
              <w:top w:w="60" w:type="dxa"/>
              <w:left w:w="240" w:type="dxa"/>
              <w:bottom w:w="60" w:type="dxa"/>
              <w:right w:w="240" w:type="dxa"/>
            </w:tcMar>
            <w:hideMark/>
          </w:tcPr>
          <w:p w14:paraId="01D4347C"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"We must manage the threat that ESG trends pose to our value pools"</w:t>
            </w:r>
          </w:p>
        </w:tc>
        <w:tc>
          <w:tcPr>
            <w:tcW w:w="8420" w:type="dxa"/>
            <w:tcMar>
              <w:top w:w="60" w:type="dxa"/>
              <w:left w:w="240" w:type="dxa"/>
              <w:bottom w:w="60" w:type="dxa"/>
              <w:right w:w="240" w:type="dxa"/>
            </w:tcMar>
            <w:hideMark/>
          </w:tcPr>
          <w:p w14:paraId="44EE3570"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This defensive approach towards ESG suggests a focus on protecting a company's existing business model from potential disruption posed by ESG trends. However, change is unavoidable and ignoring the value offered by ESG trends means being caught off guard in the future. Businesses that create long-term value always friendship the trend, don’t fight it.</w:t>
            </w:r>
          </w:p>
        </w:tc>
        <w:tc>
          <w:tcPr>
            <w:tcW w:w="0" w:type="auto"/>
            <w:tcMar>
              <w:top w:w="60" w:type="dxa"/>
              <w:left w:w="240" w:type="dxa"/>
              <w:bottom w:w="60" w:type="dxa"/>
              <w:right w:w="240" w:type="dxa"/>
            </w:tcMar>
            <w:hideMark/>
          </w:tcPr>
          <w:p w14:paraId="0184F2F8"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“By embracing ESG trends, and embedding them on our core business model, we will develop a competitive distance in the market”</w:t>
            </w:r>
          </w:p>
        </w:tc>
      </w:tr>
      <w:tr w:rsidR="00B85238" w:rsidRPr="00B85238" w14:paraId="667D2357" w14:textId="77777777" w:rsidTr="00B85238">
        <w:tc>
          <w:tcPr>
            <w:tcW w:w="0" w:type="auto"/>
            <w:tcMar>
              <w:top w:w="60" w:type="dxa"/>
              <w:left w:w="240" w:type="dxa"/>
              <w:bottom w:w="60" w:type="dxa"/>
              <w:right w:w="240" w:type="dxa"/>
            </w:tcMar>
            <w:hideMark/>
          </w:tcPr>
          <w:p w14:paraId="47FA8AA5"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"ESG as a distraction that consumes scarce financial resources"</w:t>
            </w:r>
          </w:p>
        </w:tc>
        <w:tc>
          <w:tcPr>
            <w:tcW w:w="8420" w:type="dxa"/>
            <w:tcMar>
              <w:top w:w="60" w:type="dxa"/>
              <w:left w:w="240" w:type="dxa"/>
              <w:bottom w:w="60" w:type="dxa"/>
              <w:right w:w="240" w:type="dxa"/>
            </w:tcMar>
            <w:hideMark/>
          </w:tcPr>
          <w:p w14:paraId="71A5B6E7"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This attitude implies that ESG is viewed as an unnecessary expense that diverts resources away from core business activities. However, as we’ve already explored in previous modules, this may be an indication of a limited understanding of ESG's impact on the business. In fact, companies that integrate ESG into their business strategy can reap benefits such as increased innovation, improved reputation, and better stakeholder relationships, thus enhancing their long-term performance and financial returns.</w:t>
            </w:r>
          </w:p>
        </w:tc>
        <w:tc>
          <w:tcPr>
            <w:tcW w:w="0" w:type="auto"/>
            <w:tcMar>
              <w:top w:w="60" w:type="dxa"/>
              <w:left w:w="240" w:type="dxa"/>
              <w:bottom w:w="60" w:type="dxa"/>
              <w:right w:w="240" w:type="dxa"/>
            </w:tcMar>
            <w:hideMark/>
          </w:tcPr>
          <w:p w14:paraId="7D66A963" w14:textId="77777777" w:rsidR="00B85238" w:rsidRPr="00B85238" w:rsidRDefault="00B85238" w:rsidP="00B85238">
            <w:pPr>
              <w:rPr>
                <w:rFonts w:ascii="Palatino Linotype" w:hAnsi="Palatino Linotype"/>
                <w:lang w:val="vi-VN"/>
              </w:rPr>
            </w:pPr>
            <w:r w:rsidRPr="00B85238">
              <w:rPr>
                <w:rFonts w:ascii="Palatino Linotype" w:hAnsi="Palatino Linotype"/>
                <w:lang w:val="vi-VN"/>
              </w:rPr>
              <w:t>“ESG as an enabler of Sustainable Finance that lowers our WACC”</w:t>
            </w:r>
          </w:p>
        </w:tc>
      </w:tr>
    </w:tbl>
    <w:p w14:paraId="12674E1D" w14:textId="77777777" w:rsidR="00B85238" w:rsidRPr="009165DD" w:rsidRDefault="00B85238" w:rsidP="00B85238">
      <w:pPr>
        <w:rPr>
          <w:rFonts w:ascii="Palatino Linotype" w:hAnsi="Palatino Linotype"/>
          <w:lang w:val="vi-VN"/>
        </w:rPr>
        <w:sectPr w:rsidR="00B85238" w:rsidRPr="009165DD" w:rsidSect="00B85238">
          <w:headerReference w:type="default" r:id="rId13"/>
          <w:footerReference w:type="default" r:id="rId14"/>
          <w:pgSz w:w="16840" w:h="11907" w:orient="landscape" w:code="9"/>
          <w:pgMar w:top="1134" w:right="1701" w:bottom="1134" w:left="1134" w:header="0" w:footer="0" w:gutter="0"/>
          <w:cols w:space="708"/>
          <w:docGrid w:linePitch="381"/>
        </w:sectPr>
      </w:pPr>
    </w:p>
    <w:p w14:paraId="69C19B7E" w14:textId="77777777" w:rsidR="00B85238" w:rsidRPr="00B85238" w:rsidRDefault="00B85238" w:rsidP="00B85238">
      <w:pPr>
        <w:jc w:val="both"/>
        <w:rPr>
          <w:rFonts w:ascii="Palatino Linotype" w:hAnsi="Palatino Linotype"/>
          <w:lang w:val="vi-VN"/>
        </w:rPr>
      </w:pPr>
      <w:r w:rsidRPr="00B85238">
        <w:rPr>
          <w:rFonts w:ascii="Palatino Linotype" w:hAnsi="Palatino Linotype"/>
          <w:lang w:val="vi-VN"/>
        </w:rPr>
        <w:t>Integrating ESG can indeed present challenges and obstacles, yet, a growth mindset helps individuals and companies view setbacks and challenges as opportunities for learning and growth.</w:t>
      </w:r>
    </w:p>
    <w:p w14:paraId="694BD976" w14:textId="22B7D34C" w:rsidR="00CF4886" w:rsidRPr="009165DD" w:rsidRDefault="00CF4886" w:rsidP="00B85238">
      <w:pPr>
        <w:rPr>
          <w:rFonts w:ascii="Palatino Linotype" w:hAnsi="Palatino Linotype"/>
        </w:rPr>
      </w:pPr>
    </w:p>
    <w:sectPr w:rsidR="00CF4886" w:rsidRPr="009165DD" w:rsidSect="00C85D61">
      <w:pgSz w:w="11907" w:h="16840" w:code="9"/>
      <w:pgMar w:top="1701" w:right="1134" w:bottom="113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DED3F" w14:textId="77777777" w:rsidR="000E063F" w:rsidRDefault="000E063F" w:rsidP="00B85238">
      <w:pPr>
        <w:spacing w:after="0" w:line="240" w:lineRule="auto"/>
      </w:pPr>
      <w:r>
        <w:separator/>
      </w:r>
    </w:p>
  </w:endnote>
  <w:endnote w:type="continuationSeparator" w:id="0">
    <w:p w14:paraId="22FA5A6C" w14:textId="77777777" w:rsidR="000E063F" w:rsidRDefault="000E063F" w:rsidP="00B85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75BC194D-C5FA-4985-BC43-508CACF87F71}"/>
    <w:embedBold r:id="rId2" w:fontKey="{77732273-FA4C-474A-A2D7-D6112B15C117}"/>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2A31" w14:textId="77777777" w:rsidR="00B85238" w:rsidRDefault="00B852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A47D" w14:textId="77777777" w:rsidR="00B85238" w:rsidRDefault="00B85238" w:rsidP="00B8523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2238" w14:textId="77777777" w:rsidR="00B85238" w:rsidRDefault="00B852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38518" w14:textId="77777777" w:rsidR="00B85238" w:rsidRDefault="00B85238" w:rsidP="00B8523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D8B23" w14:textId="77777777" w:rsidR="000E063F" w:rsidRDefault="000E063F" w:rsidP="00B85238">
      <w:pPr>
        <w:spacing w:after="0" w:line="240" w:lineRule="auto"/>
      </w:pPr>
      <w:r>
        <w:separator/>
      </w:r>
    </w:p>
  </w:footnote>
  <w:footnote w:type="continuationSeparator" w:id="0">
    <w:p w14:paraId="1269455E" w14:textId="77777777" w:rsidR="000E063F" w:rsidRDefault="000E063F" w:rsidP="00B85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D93A" w14:textId="77777777" w:rsidR="00B85238" w:rsidRDefault="00B852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BAA9" w14:textId="77777777" w:rsidR="00B85238" w:rsidRDefault="00B852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69F8" w14:textId="77777777" w:rsidR="00B85238" w:rsidRDefault="00B852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BA6F" w14:textId="77777777" w:rsidR="00B85238" w:rsidRDefault="00B852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238"/>
    <w:rsid w:val="00043159"/>
    <w:rsid w:val="000D76D2"/>
    <w:rsid w:val="000E063F"/>
    <w:rsid w:val="00135354"/>
    <w:rsid w:val="001A4A8F"/>
    <w:rsid w:val="00226859"/>
    <w:rsid w:val="002B06EB"/>
    <w:rsid w:val="002C7714"/>
    <w:rsid w:val="002E11FF"/>
    <w:rsid w:val="00422BAE"/>
    <w:rsid w:val="00534847"/>
    <w:rsid w:val="005A7366"/>
    <w:rsid w:val="005D125A"/>
    <w:rsid w:val="005F1509"/>
    <w:rsid w:val="006B3A0E"/>
    <w:rsid w:val="006F6010"/>
    <w:rsid w:val="007314C6"/>
    <w:rsid w:val="00826A98"/>
    <w:rsid w:val="009165DD"/>
    <w:rsid w:val="00A1565C"/>
    <w:rsid w:val="00A565F2"/>
    <w:rsid w:val="00A731E6"/>
    <w:rsid w:val="00AC2453"/>
    <w:rsid w:val="00B22B23"/>
    <w:rsid w:val="00B47B94"/>
    <w:rsid w:val="00B85238"/>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22CD6"/>
  <w15:chartTrackingRefBased/>
  <w15:docId w15:val="{10703D26-E0ED-4131-9FDC-AEC757A7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B85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23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852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52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52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52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52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52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B85238"/>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B85238"/>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B85238"/>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B85238"/>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B85238"/>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B85238"/>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B85238"/>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B85238"/>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B85238"/>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B8523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85238"/>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B852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5238"/>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B85238"/>
    <w:pPr>
      <w:ind w:left="720"/>
      <w:contextualSpacing/>
    </w:pPr>
  </w:style>
  <w:style w:type="character" w:styleId="IntenseEmphasis">
    <w:name w:val="Intense Emphasis"/>
    <w:basedOn w:val="DefaultParagraphFont"/>
    <w:uiPriority w:val="21"/>
    <w:qFormat/>
    <w:rsid w:val="00B85238"/>
    <w:rPr>
      <w:i/>
      <w:iCs/>
      <w:color w:val="0F4761" w:themeColor="accent1" w:themeShade="BF"/>
    </w:rPr>
  </w:style>
  <w:style w:type="paragraph" w:styleId="IntenseQuote">
    <w:name w:val="Intense Quote"/>
    <w:basedOn w:val="Normal"/>
    <w:next w:val="Normal"/>
    <w:link w:val="IntenseQuoteChar"/>
    <w:uiPriority w:val="30"/>
    <w:qFormat/>
    <w:rsid w:val="00B8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238"/>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B85238"/>
    <w:rPr>
      <w:b/>
      <w:bCs/>
      <w:smallCaps/>
      <w:color w:val="0F4761" w:themeColor="accent1" w:themeShade="BF"/>
      <w:spacing w:val="5"/>
    </w:rPr>
  </w:style>
  <w:style w:type="paragraph" w:styleId="Header">
    <w:name w:val="header"/>
    <w:basedOn w:val="Normal"/>
    <w:link w:val="HeaderChar"/>
    <w:uiPriority w:val="99"/>
    <w:unhideWhenUsed/>
    <w:rsid w:val="00B85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5238"/>
    <w:rPr>
      <w:rFonts w:ascii="Hanom PV" w:hAnsi="Hanom PV"/>
      <w:noProof/>
      <w:kern w:val="0"/>
      <w:sz w:val="28"/>
      <w:lang w:val="en-US" w:eastAsia="en-US"/>
    </w:rPr>
  </w:style>
  <w:style w:type="paragraph" w:styleId="Footer">
    <w:name w:val="footer"/>
    <w:basedOn w:val="Normal"/>
    <w:link w:val="FooterChar"/>
    <w:uiPriority w:val="99"/>
    <w:unhideWhenUsed/>
    <w:rsid w:val="00B85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5238"/>
    <w:rPr>
      <w:rFonts w:ascii="Hanom PV" w:hAnsi="Hanom PV"/>
      <w:noProof/>
      <w:kern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2</cp:revision>
  <dcterms:created xsi:type="dcterms:W3CDTF">2025-12-10T09:48:00Z</dcterms:created>
  <dcterms:modified xsi:type="dcterms:W3CDTF">2025-12-10T09:53:00Z</dcterms:modified>
</cp:coreProperties>
</file>