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4A57" w14:textId="77777777" w:rsidR="00634D1C" w:rsidRPr="00634D1C" w:rsidRDefault="00634D1C" w:rsidP="00634D1C">
      <w:pPr>
        <w:jc w:val="both"/>
        <w:rPr>
          <w:rFonts w:ascii="Palatino Linotype" w:hAnsi="Palatino Linotype"/>
          <w:b/>
          <w:bCs/>
          <w:sz w:val="32"/>
          <w:szCs w:val="24"/>
          <w:lang w:val="vi-VN"/>
        </w:rPr>
      </w:pPr>
      <w:r w:rsidRPr="00634D1C">
        <w:rPr>
          <w:rFonts w:ascii="Palatino Linotype" w:hAnsi="Palatino Linotype"/>
          <w:b/>
          <w:bCs/>
          <w:sz w:val="32"/>
          <w:szCs w:val="24"/>
          <w:lang w:val="vi-VN"/>
        </w:rPr>
        <w:t>Let's Recap</w:t>
      </w:r>
    </w:p>
    <w:p w14:paraId="1A9C1F76" w14:textId="3FC37927" w:rsidR="00634D1C" w:rsidRPr="00634D1C" w:rsidRDefault="00634D1C" w:rsidP="00634D1C">
      <w:pPr>
        <w:jc w:val="both"/>
        <w:rPr>
          <w:rFonts w:ascii="Palatino Linotype" w:hAnsi="Palatino Linotype"/>
          <w:lang w:val="vi-VN"/>
        </w:rPr>
      </w:pPr>
      <w:r w:rsidRPr="00634D1C">
        <w:rPr>
          <w:rFonts w:ascii="Palatino Linotype" w:hAnsi="Palatino Linotype"/>
          <w:lang w:val="vi-VN"/>
        </w:rPr>
        <w:drawing>
          <wp:inline distT="0" distB="0" distL="0" distR="0" wp14:anchorId="42F2CB8A" wp14:editId="164DBB8F">
            <wp:extent cx="6120765" cy="1657985"/>
            <wp:effectExtent l="0" t="0" r="0" b="0"/>
            <wp:docPr id="1920630340" name="Picture 2" descr="Decorative header image that reads, &quot;Let's Reca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header image that reads, &quot;Let's Recap&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726FB47A" w14:textId="77777777" w:rsidR="00634D1C" w:rsidRPr="00634D1C" w:rsidRDefault="00634D1C" w:rsidP="00634D1C">
      <w:pPr>
        <w:jc w:val="both"/>
        <w:rPr>
          <w:rFonts w:ascii="Palatino Linotype" w:hAnsi="Palatino Linotype"/>
          <w:b/>
          <w:bCs/>
          <w:lang w:val="vi-VN"/>
        </w:rPr>
      </w:pPr>
      <w:r w:rsidRPr="00634D1C">
        <w:rPr>
          <w:rFonts w:ascii="Palatino Linotype" w:hAnsi="Palatino Linotype"/>
          <w:b/>
          <w:bCs/>
          <w:lang w:val="vi-VN"/>
        </w:rPr>
        <w:t>Key Takeaways</w:t>
      </w:r>
    </w:p>
    <w:p w14:paraId="426B9884" w14:textId="77777777" w:rsidR="00634D1C" w:rsidRPr="00634D1C" w:rsidRDefault="00634D1C" w:rsidP="00634D1C">
      <w:pPr>
        <w:jc w:val="both"/>
        <w:rPr>
          <w:rFonts w:ascii="Palatino Linotype" w:hAnsi="Palatino Linotype"/>
          <w:lang w:val="vi-VN"/>
        </w:rPr>
      </w:pPr>
      <w:r w:rsidRPr="00634D1C">
        <w:rPr>
          <w:rFonts w:ascii="Palatino Linotype" w:hAnsi="Palatino Linotype"/>
          <w:b/>
          <w:bCs/>
          <w:lang w:val="vi-VN"/>
        </w:rPr>
        <w:t>Develop a growth mindset:</w:t>
      </w:r>
      <w:r w:rsidRPr="00634D1C">
        <w:rPr>
          <w:rFonts w:ascii="Palatino Linotype" w:hAnsi="Palatino Linotype"/>
          <w:lang w:val="vi-VN"/>
        </w:rPr>
        <w:t> This implies focusing on learning, effort and perseverance and can help you take action toward making a difference. Developing a growth mindset is key to embracing ESG as this is an ongoing process that requires continuous improvement, creative problem-solving, resilience, and the ability to embrace new strategies and practices.   </w:t>
      </w:r>
    </w:p>
    <w:p w14:paraId="34C6E4E2" w14:textId="77777777" w:rsidR="00634D1C" w:rsidRPr="00634D1C" w:rsidRDefault="00634D1C" w:rsidP="00634D1C">
      <w:pPr>
        <w:jc w:val="both"/>
        <w:rPr>
          <w:rFonts w:ascii="Palatino Linotype" w:hAnsi="Palatino Linotype"/>
          <w:lang w:val="vi-VN"/>
        </w:rPr>
      </w:pPr>
      <w:r w:rsidRPr="00634D1C">
        <w:rPr>
          <w:rFonts w:ascii="Palatino Linotype" w:hAnsi="Palatino Linotype"/>
          <w:b/>
          <w:bCs/>
          <w:lang w:val="vi-VN"/>
        </w:rPr>
        <w:t>Act with urgency: </w:t>
      </w:r>
      <w:r w:rsidRPr="00634D1C">
        <w:rPr>
          <w:rFonts w:ascii="Palatino Linotype" w:hAnsi="Palatino Linotype"/>
          <w:lang w:val="vi-VN"/>
        </w:rPr>
        <w:t>Companies need to prioritize ESG considerations and proactively address the risks and opportunities associated with them. This includes adopting new technologies and taking a leadership position in implementing sustainable practices.</w:t>
      </w:r>
    </w:p>
    <w:p w14:paraId="4D477F47" w14:textId="77777777" w:rsidR="00634D1C" w:rsidRPr="00634D1C" w:rsidRDefault="00634D1C" w:rsidP="00634D1C">
      <w:pPr>
        <w:jc w:val="both"/>
        <w:rPr>
          <w:rFonts w:ascii="Palatino Linotype" w:hAnsi="Palatino Linotype"/>
          <w:lang w:val="vi-VN"/>
        </w:rPr>
      </w:pPr>
      <w:r w:rsidRPr="00634D1C">
        <w:rPr>
          <w:rFonts w:ascii="Palatino Linotype" w:hAnsi="Palatino Linotype"/>
          <w:b/>
          <w:bCs/>
          <w:lang w:val="vi-VN"/>
        </w:rPr>
        <w:t>Be genuine: </w:t>
      </w:r>
      <w:r w:rsidRPr="00634D1C">
        <w:rPr>
          <w:rFonts w:ascii="Palatino Linotype" w:hAnsi="Palatino Linotype"/>
          <w:lang w:val="vi-VN"/>
        </w:rPr>
        <w:t>Leaders should genuinely embrace ESG goals instead of treating them as a mere reporting burden. They need to leverage ESG data to improve decision-making and create business value. This involves going beyond compliance and genuinely caring for stakeholders, using core business competencies.</w:t>
      </w:r>
    </w:p>
    <w:p w14:paraId="4AEAA414" w14:textId="77777777" w:rsidR="00634D1C" w:rsidRPr="00634D1C" w:rsidRDefault="00634D1C" w:rsidP="00634D1C">
      <w:pPr>
        <w:jc w:val="both"/>
        <w:rPr>
          <w:rFonts w:ascii="Palatino Linotype" w:hAnsi="Palatino Linotype"/>
          <w:lang w:val="vi-VN"/>
        </w:rPr>
      </w:pPr>
      <w:r w:rsidRPr="00634D1C">
        <w:rPr>
          <w:rFonts w:ascii="Palatino Linotype" w:hAnsi="Palatino Linotype"/>
          <w:b/>
          <w:bCs/>
          <w:lang w:val="vi-VN"/>
        </w:rPr>
        <w:t>Capture the opportunity of a lifetime:</w:t>
      </w:r>
      <w:r w:rsidRPr="00634D1C">
        <w:rPr>
          <w:rFonts w:ascii="Palatino Linotype" w:hAnsi="Palatino Linotype"/>
          <w:lang w:val="vi-VN"/>
        </w:rPr>
        <w:t> Companies should view sustainability as an opportunity to create and capture value for all stakeholders. Rather than managing the threats posed by sustainability trends, they should leverage these trends to develop a competitive advantage and align with the changing landscape.  </w:t>
      </w:r>
    </w:p>
    <w:p w14:paraId="26A57294" w14:textId="77777777" w:rsidR="00634D1C" w:rsidRPr="00634D1C" w:rsidRDefault="00634D1C" w:rsidP="00634D1C">
      <w:pPr>
        <w:jc w:val="both"/>
        <w:rPr>
          <w:rFonts w:ascii="Palatino Linotype" w:hAnsi="Palatino Linotype"/>
          <w:b/>
          <w:bCs/>
          <w:lang w:val="vi-VN"/>
        </w:rPr>
      </w:pPr>
      <w:r w:rsidRPr="00634D1C">
        <w:rPr>
          <w:rFonts w:ascii="Palatino Linotype" w:hAnsi="Palatino Linotype"/>
          <w:b/>
          <w:bCs/>
          <w:lang w:val="vi-VN"/>
        </w:rPr>
        <w:t>Additional Resources</w:t>
      </w:r>
    </w:p>
    <w:p w14:paraId="34294D0A" w14:textId="77777777" w:rsidR="00634D1C" w:rsidRPr="00634D1C" w:rsidRDefault="00634D1C" w:rsidP="00634D1C">
      <w:pPr>
        <w:numPr>
          <w:ilvl w:val="0"/>
          <w:numId w:val="1"/>
        </w:numPr>
        <w:jc w:val="both"/>
        <w:rPr>
          <w:rFonts w:ascii="Palatino Linotype" w:hAnsi="Palatino Linotype"/>
          <w:lang w:val="vi-VN"/>
        </w:rPr>
      </w:pPr>
      <w:hyperlink r:id="rId6" w:tgtFrame="_blank" w:history="1">
        <w:r w:rsidRPr="00634D1C">
          <w:rPr>
            <w:rStyle w:val="Hyperlink"/>
            <w:rFonts w:ascii="Palatino Linotype" w:hAnsi="Palatino Linotype"/>
            <w:lang w:val="vi-VN"/>
          </w:rPr>
          <w:t>The Choice to Make a Difference</w:t>
        </w:r>
      </w:hyperlink>
      <w:r w:rsidRPr="00634D1C">
        <w:rPr>
          <w:rFonts w:ascii="Palatino Linotype" w:hAnsi="Palatino Linotype"/>
          <w:lang w:val="vi-VN"/>
        </w:rPr>
        <w:t xml:space="preserve">. Read the following article by Carol S. Dweck where she describes her research on growth and fixed mindsets. </w:t>
      </w:r>
    </w:p>
    <w:p w14:paraId="2F7D5818" w14:textId="77777777" w:rsidR="00634D1C" w:rsidRPr="00634D1C" w:rsidRDefault="00634D1C" w:rsidP="00634D1C">
      <w:pPr>
        <w:numPr>
          <w:ilvl w:val="0"/>
          <w:numId w:val="1"/>
        </w:numPr>
        <w:jc w:val="both"/>
        <w:rPr>
          <w:rFonts w:ascii="Palatino Linotype" w:hAnsi="Palatino Linotype"/>
          <w:lang w:val="vi-VN"/>
        </w:rPr>
      </w:pPr>
      <w:hyperlink r:id="rId7" w:tgtFrame="_blank" w:history="1">
        <w:r w:rsidRPr="00634D1C">
          <w:rPr>
            <w:rStyle w:val="Hyperlink"/>
            <w:rFonts w:ascii="Palatino Linotype" w:hAnsi="Palatino Linotype"/>
            <w:lang w:val="vi-VN"/>
          </w:rPr>
          <w:t>Developing A Growth Mindset: How To Learn From Failure And Embrace.</w:t>
        </w:r>
      </w:hyperlink>
      <w:r w:rsidRPr="00634D1C">
        <w:rPr>
          <w:rFonts w:ascii="Palatino Linotype" w:hAnsi="Palatino Linotype"/>
          <w:lang w:val="vi-VN"/>
        </w:rPr>
        <w:t xml:space="preserve"> Read the following summary of what a growth mindset is and its benefits, the drawbacks of a fixed mindset, and some practical strategies for adopting a growth mindset in your everyday life.</w:t>
      </w:r>
    </w:p>
    <w:p w14:paraId="76A953ED" w14:textId="77777777" w:rsidR="00634D1C" w:rsidRPr="00634D1C" w:rsidRDefault="00634D1C" w:rsidP="00634D1C">
      <w:pPr>
        <w:numPr>
          <w:ilvl w:val="0"/>
          <w:numId w:val="1"/>
        </w:numPr>
        <w:jc w:val="both"/>
        <w:rPr>
          <w:rFonts w:ascii="Palatino Linotype" w:hAnsi="Palatino Linotype"/>
          <w:lang w:val="vi-VN"/>
        </w:rPr>
      </w:pPr>
      <w:hyperlink r:id="rId8" w:tgtFrame="_blank" w:history="1">
        <w:r w:rsidRPr="00634D1C">
          <w:rPr>
            <w:rStyle w:val="Hyperlink"/>
            <w:rFonts w:ascii="Palatino Linotype" w:hAnsi="Palatino Linotype"/>
            <w:lang w:val="vi-VN"/>
          </w:rPr>
          <w:t>Shifting Mindsets to ESG Approaches in Business</w:t>
        </w:r>
      </w:hyperlink>
      <w:r w:rsidRPr="00634D1C">
        <w:rPr>
          <w:rFonts w:ascii="Palatino Linotype" w:hAnsi="Palatino Linotype"/>
          <w:lang w:val="vi-VN"/>
        </w:rPr>
        <w:t xml:space="preserve">. You can adopt different mindsets when it comes to ESG, including a risk mitigation mindset, a zero-harm mindset, a do-good mindset, and a just and regenerative mindset. </w:t>
      </w:r>
    </w:p>
    <w:p w14:paraId="5905A8AD" w14:textId="77777777" w:rsidR="00634D1C" w:rsidRPr="00634D1C" w:rsidRDefault="00634D1C" w:rsidP="00634D1C">
      <w:pPr>
        <w:numPr>
          <w:ilvl w:val="0"/>
          <w:numId w:val="1"/>
        </w:numPr>
        <w:jc w:val="both"/>
        <w:rPr>
          <w:rFonts w:ascii="Palatino Linotype" w:hAnsi="Palatino Linotype"/>
          <w:lang w:val="vi-VN"/>
        </w:rPr>
      </w:pPr>
      <w:hyperlink r:id="rId9" w:tgtFrame="_blank" w:history="1">
        <w:r w:rsidRPr="00634D1C">
          <w:rPr>
            <w:rStyle w:val="Hyperlink"/>
            <w:rFonts w:ascii="Palatino Linotype" w:hAnsi="Palatino Linotype"/>
            <w:lang w:val="vi-VN"/>
          </w:rPr>
          <w:t>Is Greenhushing The New Greenwashing?</w:t>
        </w:r>
      </w:hyperlink>
      <w:r w:rsidRPr="00634D1C">
        <w:rPr>
          <w:rFonts w:ascii="Palatino Linotype" w:hAnsi="Palatino Linotype"/>
          <w:lang w:val="vi-VN"/>
        </w:rPr>
        <w:t xml:space="preserve"> Greenhushing refers to the practice of hiding companies’ environmentally unsustainable practices. In her article "Is Greenhushing The New Greenwashing?", Emily Chan argues that this could be more damaging than traditional greenwashing, as it violates consumers' trust and prevents companies from improving their practices in the long run. </w:t>
      </w:r>
    </w:p>
    <w:p w14:paraId="4924DF2C" w14:textId="77777777" w:rsidR="00634D1C" w:rsidRPr="00634D1C" w:rsidRDefault="00634D1C" w:rsidP="00634D1C">
      <w:pPr>
        <w:numPr>
          <w:ilvl w:val="0"/>
          <w:numId w:val="1"/>
        </w:numPr>
        <w:jc w:val="both"/>
        <w:rPr>
          <w:rFonts w:ascii="Palatino Linotype" w:hAnsi="Palatino Linotype"/>
          <w:lang w:val="vi-VN"/>
        </w:rPr>
      </w:pPr>
      <w:hyperlink r:id="rId10" w:tgtFrame="_blank" w:history="1">
        <w:r w:rsidRPr="00634D1C">
          <w:rPr>
            <w:rStyle w:val="Hyperlink"/>
            <w:rFonts w:ascii="Palatino Linotype" w:hAnsi="Palatino Linotype"/>
            <w:lang w:val="vi-VN"/>
          </w:rPr>
          <w:t>Diverse Teams Achieve Greater Success: How Business Can Champion Diversity As Good Sense</w:t>
        </w:r>
      </w:hyperlink>
      <w:r w:rsidRPr="00634D1C">
        <w:rPr>
          <w:rFonts w:ascii="Palatino Linotype" w:hAnsi="Palatino Linotype"/>
          <w:lang w:val="vi-VN"/>
        </w:rPr>
        <w:t>. The article argues that diverse teams bring a wide range of perspectives, experiences, and ideas, leading to improved problem-solving, creativity, and innovation. The author highlights research findings that highlight the positive impact of diversity on business performance and the ability to adapt to rapidly changing markets.</w:t>
      </w:r>
    </w:p>
    <w:p w14:paraId="26926B29" w14:textId="77777777" w:rsidR="00634D1C" w:rsidRPr="00634D1C" w:rsidRDefault="00634D1C" w:rsidP="00634D1C">
      <w:pPr>
        <w:numPr>
          <w:ilvl w:val="0"/>
          <w:numId w:val="1"/>
        </w:numPr>
        <w:jc w:val="both"/>
        <w:rPr>
          <w:rFonts w:ascii="Palatino Linotype" w:hAnsi="Palatino Linotype"/>
          <w:lang w:val="vi-VN"/>
        </w:rPr>
      </w:pPr>
      <w:hyperlink r:id="rId11" w:anchor=":~:text=Factbox%3A%20Tesla%20market%20cap%20eclipses%20that%20of%20top%205%20rival%20carmakers%20combined,-Reuters&amp;text=Oct%2026%20(Reuters)%20%2D%20Tesla,%2C%20Toyota%20Motor%20Corp%20(7203." w:tgtFrame="_blank" w:history="1">
        <w:r w:rsidRPr="00634D1C">
          <w:rPr>
            <w:rStyle w:val="Hyperlink"/>
            <w:rFonts w:ascii="Palatino Linotype" w:hAnsi="Palatino Linotype"/>
            <w:lang w:val="vi-VN"/>
          </w:rPr>
          <w:t>Factbox: Tesla market cap eclipses that of top 5 rival carmakers combined</w:t>
        </w:r>
      </w:hyperlink>
      <w:r w:rsidRPr="00634D1C">
        <w:rPr>
          <w:rFonts w:ascii="Palatino Linotype" w:hAnsi="Palatino Linotype"/>
          <w:lang w:val="vi-VN"/>
        </w:rPr>
        <w:t>. This article is about Tesla's significant lead over its top five competitors combined: Volkswagen, Toyota, General Motors, Ford, and Fiat Chrysler. The article shows how Tesla’s disruptive impact on the automotive industry has been fueled by its focus on electric vehicles and innovative technology, as well as the confidence of investors in its potential for future growth.</w:t>
      </w:r>
    </w:p>
    <w:p w14:paraId="5A25C502" w14:textId="77777777" w:rsidR="00634D1C" w:rsidRPr="00634D1C" w:rsidRDefault="00634D1C" w:rsidP="00634D1C">
      <w:pPr>
        <w:numPr>
          <w:ilvl w:val="0"/>
          <w:numId w:val="1"/>
        </w:numPr>
        <w:jc w:val="both"/>
        <w:rPr>
          <w:rFonts w:ascii="Palatino Linotype" w:hAnsi="Palatino Linotype"/>
          <w:lang w:val="vi-VN"/>
        </w:rPr>
      </w:pPr>
      <w:hyperlink r:id="rId12" w:tgtFrame="_blank" w:history="1">
        <w:r w:rsidRPr="00634D1C">
          <w:rPr>
            <w:rStyle w:val="Hyperlink"/>
            <w:rFonts w:ascii="Palatino Linotype" w:hAnsi="Palatino Linotype"/>
            <w:lang w:val="vi-VN"/>
          </w:rPr>
          <w:t>Green Bonds: How do they work and are they right for your project?</w:t>
        </w:r>
      </w:hyperlink>
      <w:r w:rsidRPr="00634D1C">
        <w:rPr>
          <w:rFonts w:ascii="Palatino Linotype" w:hAnsi="Palatino Linotype"/>
          <w:lang w:val="vi-VN"/>
        </w:rPr>
        <w:t xml:space="preserve"> Green bonds are financial instruments used to fund projects with environmental benefits. The article describes the mechanics of green bonds, highlights the importance of accurately identifying whether a project qualifies as "green" and the need for transparency in reporting and monitoring environmental impacts. </w:t>
      </w:r>
    </w:p>
    <w:p w14:paraId="7603B1A5" w14:textId="77777777" w:rsidR="00634D1C" w:rsidRPr="00634D1C" w:rsidRDefault="00634D1C" w:rsidP="00634D1C">
      <w:pPr>
        <w:numPr>
          <w:ilvl w:val="0"/>
          <w:numId w:val="1"/>
        </w:numPr>
        <w:jc w:val="both"/>
        <w:rPr>
          <w:rFonts w:ascii="Palatino Linotype" w:hAnsi="Palatino Linotype"/>
          <w:lang w:val="vi-VN"/>
        </w:rPr>
      </w:pPr>
      <w:hyperlink r:id="rId13" w:tgtFrame="_blank" w:history="1">
        <w:r w:rsidRPr="00634D1C">
          <w:rPr>
            <w:rStyle w:val="Hyperlink"/>
            <w:rFonts w:ascii="Palatino Linotype" w:hAnsi="Palatino Linotype"/>
            <w:lang w:val="vi-VN"/>
          </w:rPr>
          <w:t>Gothenburg Green Bonds | Sweden</w:t>
        </w:r>
      </w:hyperlink>
      <w:r w:rsidRPr="00634D1C">
        <w:rPr>
          <w:rFonts w:ascii="Palatino Linotype" w:hAnsi="Palatino Linotype"/>
          <w:lang w:val="vi-VN"/>
        </w:rPr>
        <w:t>. With roots stretching back to the days of heavy industry, the Swedish city of Gothenburg has successfully transitioned from an industrial heartland to a global climate leader. In 2013, the City of Gothenburg became the first city in the world to issue green bonds.</w:t>
      </w:r>
    </w:p>
    <w:p w14:paraId="06C2F191" w14:textId="77777777" w:rsidR="00634D1C" w:rsidRPr="00634D1C" w:rsidRDefault="00634D1C" w:rsidP="00634D1C">
      <w:pPr>
        <w:numPr>
          <w:ilvl w:val="0"/>
          <w:numId w:val="1"/>
        </w:numPr>
        <w:jc w:val="both"/>
        <w:rPr>
          <w:rFonts w:ascii="Palatino Linotype" w:hAnsi="Palatino Linotype"/>
          <w:lang w:val="vi-VN"/>
        </w:rPr>
      </w:pPr>
      <w:hyperlink r:id="rId14" w:tgtFrame="_blank" w:history="1">
        <w:r w:rsidRPr="00634D1C">
          <w:rPr>
            <w:rStyle w:val="Hyperlink"/>
            <w:rFonts w:ascii="Palatino Linotype" w:hAnsi="Palatino Linotype"/>
            <w:lang w:val="vi-VN"/>
          </w:rPr>
          <w:t>Project Port Authority of Valencia strategy towards Zero Emissions by 2030</w:t>
        </w:r>
      </w:hyperlink>
      <w:r w:rsidRPr="00634D1C">
        <w:rPr>
          <w:rFonts w:ascii="Palatino Linotype" w:hAnsi="Palatino Linotype"/>
          <w:lang w:val="vi-VN"/>
        </w:rPr>
        <w:t xml:space="preserve">. This article describes the ambitious plan of the Port Authority of Valencia (PAV) to achieve zero emissions by the year 2030. It outlines the specific measures and strategies being implemented by PAV to tackle pollution and reduce carbon emissions, including the use of electric vehicles, renewable energy sources, the electrification of port machinery and by promoting the use of alternative fuels in maritime transport. </w:t>
      </w:r>
    </w:p>
    <w:p w14:paraId="7C835652" w14:textId="3A74DC96" w:rsidR="00CF4886" w:rsidRPr="00634D1C" w:rsidRDefault="00634D1C" w:rsidP="00634D1C">
      <w:pPr>
        <w:numPr>
          <w:ilvl w:val="0"/>
          <w:numId w:val="1"/>
        </w:numPr>
        <w:jc w:val="both"/>
        <w:rPr>
          <w:rFonts w:ascii="Palatino Linotype" w:hAnsi="Palatino Linotype"/>
          <w:lang w:val="vi-VN"/>
        </w:rPr>
      </w:pPr>
      <w:hyperlink r:id="rId15" w:tgtFrame="_blank" w:history="1">
        <w:r w:rsidRPr="00634D1C">
          <w:rPr>
            <w:rStyle w:val="Hyperlink"/>
            <w:rFonts w:ascii="Palatino Linotype" w:hAnsi="Palatino Linotype"/>
            <w:lang w:val="vi-VN"/>
          </w:rPr>
          <w:t>The Big Shift - Dialogue Review</w:t>
        </w:r>
      </w:hyperlink>
      <w:r w:rsidRPr="00634D1C">
        <w:rPr>
          <w:rFonts w:ascii="Palatino Linotype" w:hAnsi="Palatino Linotype"/>
          <w:lang w:val="vi-VN"/>
        </w:rPr>
        <w:t xml:space="preserve">. In this article, Andrés Saint-Jean discusses what are the three crucial mindsets that need to be adopted for the sustainability transition to start. </w:t>
      </w:r>
    </w:p>
    <w:sectPr w:rsidR="00CF4886" w:rsidRPr="00634D1C"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6E55D3A4-4CB4-4FD5-B8DD-3A3D2685CFAA}"/>
    <w:embedBold r:id="rId2" w:fontKey="{B8B57798-CDFD-489E-A355-790FF1221DCC}"/>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03636"/>
    <w:multiLevelType w:val="multilevel"/>
    <w:tmpl w:val="CAE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129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1C"/>
    <w:rsid w:val="00043159"/>
    <w:rsid w:val="000D76D2"/>
    <w:rsid w:val="00135354"/>
    <w:rsid w:val="001A4A8F"/>
    <w:rsid w:val="00226859"/>
    <w:rsid w:val="002B06EB"/>
    <w:rsid w:val="002C7714"/>
    <w:rsid w:val="002E11FF"/>
    <w:rsid w:val="00422BAE"/>
    <w:rsid w:val="00534847"/>
    <w:rsid w:val="005A7366"/>
    <w:rsid w:val="005D125A"/>
    <w:rsid w:val="005F1509"/>
    <w:rsid w:val="00634D1C"/>
    <w:rsid w:val="006B3A0E"/>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F7C6"/>
  <w15:chartTrackingRefBased/>
  <w15:docId w15:val="{7319CFB8-9617-46F1-9E3D-40693B4FF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634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1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34D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4D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4D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4D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4D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634D1C"/>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634D1C"/>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634D1C"/>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634D1C"/>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634D1C"/>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634D1C"/>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634D1C"/>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634D1C"/>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634D1C"/>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634D1C"/>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34D1C"/>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634D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4D1C"/>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634D1C"/>
    <w:pPr>
      <w:ind w:left="720"/>
      <w:contextualSpacing/>
    </w:pPr>
  </w:style>
  <w:style w:type="character" w:styleId="IntenseEmphasis">
    <w:name w:val="Intense Emphasis"/>
    <w:basedOn w:val="DefaultParagraphFont"/>
    <w:uiPriority w:val="21"/>
    <w:qFormat/>
    <w:rsid w:val="00634D1C"/>
    <w:rPr>
      <w:i/>
      <w:iCs/>
      <w:color w:val="0F4761" w:themeColor="accent1" w:themeShade="BF"/>
    </w:rPr>
  </w:style>
  <w:style w:type="paragraph" w:styleId="IntenseQuote">
    <w:name w:val="Intense Quote"/>
    <w:basedOn w:val="Normal"/>
    <w:next w:val="Normal"/>
    <w:link w:val="IntenseQuoteChar"/>
    <w:uiPriority w:val="30"/>
    <w:qFormat/>
    <w:rsid w:val="00634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1C"/>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634D1C"/>
    <w:rPr>
      <w:b/>
      <w:bCs/>
      <w:smallCaps/>
      <w:color w:val="0F4761" w:themeColor="accent1" w:themeShade="BF"/>
      <w:spacing w:val="5"/>
    </w:rPr>
  </w:style>
  <w:style w:type="character" w:styleId="Hyperlink">
    <w:name w:val="Hyperlink"/>
    <w:basedOn w:val="DefaultParagraphFont"/>
    <w:uiPriority w:val="99"/>
    <w:unhideWhenUsed/>
    <w:rsid w:val="00634D1C"/>
    <w:rPr>
      <w:color w:val="467886" w:themeColor="hyperlink"/>
      <w:u w:val="single"/>
    </w:rPr>
  </w:style>
  <w:style w:type="character" w:styleId="UnresolvedMention">
    <w:name w:val="Unresolved Mention"/>
    <w:basedOn w:val="DefaultParagraphFont"/>
    <w:uiPriority w:val="99"/>
    <w:semiHidden/>
    <w:unhideWhenUsed/>
    <w:rsid w:val="00634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ogenalliance.com/blog-post/shifting-mindsets-esg-approaches-business" TargetMode="External"/><Relationship Id="rId13" Type="http://schemas.openxmlformats.org/officeDocument/2006/relationships/hyperlink" Target="https://unfccc.int/climate-action/momentum-for-change/financing-for-climate-friendly/gothenburg-green-bonds" TargetMode="External"/><Relationship Id="rId3" Type="http://schemas.openxmlformats.org/officeDocument/2006/relationships/settings" Target="settings.xml"/><Relationship Id="rId7" Type="http://schemas.openxmlformats.org/officeDocument/2006/relationships/hyperlink" Target="https://the-updates.com/blog/developing-a-growth-mindset-how-to-learn-from-failure-and-embrace-challenges/" TargetMode="External"/><Relationship Id="rId12" Type="http://schemas.openxmlformats.org/officeDocument/2006/relationships/hyperlink" Target="https://www.pwc.co.uk/services/sustainability-climate-change/insights/green-bonds.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journals.sagepub.com/doi/10.1177/1745691618804180" TargetMode="External"/><Relationship Id="rId11" Type="http://schemas.openxmlformats.org/officeDocument/2006/relationships/hyperlink" Target="https://www.reuters.com/business/autos-transportation/tesla-market-cap-eclipses-that-top-5-rival-carmakers-combined-2021-10-26/" TargetMode="External"/><Relationship Id="rId5" Type="http://schemas.openxmlformats.org/officeDocument/2006/relationships/image" Target="media/image1.png"/><Relationship Id="rId15" Type="http://schemas.openxmlformats.org/officeDocument/2006/relationships/hyperlink" Target="https://dialoguereview.com/the-big-shift/" TargetMode="External"/><Relationship Id="rId10" Type="http://schemas.openxmlformats.org/officeDocument/2006/relationships/hyperlink" Target="https://www.forbes.com/sites/forbestechcouncil/2022/05/10/diverse-teams-achieve-greater-success-how-business-can-champion-diversity-as-good-sense/" TargetMode="External"/><Relationship Id="rId4" Type="http://schemas.openxmlformats.org/officeDocument/2006/relationships/webSettings" Target="webSettings.xml"/><Relationship Id="rId9" Type="http://schemas.openxmlformats.org/officeDocument/2006/relationships/hyperlink" Target="https://www.vogue.co.uk/fashion/article/what-is-greenhushing" TargetMode="External"/><Relationship Id="rId14" Type="http://schemas.openxmlformats.org/officeDocument/2006/relationships/hyperlink" Target="https://sustainableworldports.org/wp-content/uploads/Supporting-info-PAV-Strategy-towards-zero-emissions-by-2030-.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2025-12-10T09:55:00Z</dcterms:created>
  <dcterms:modified xsi:type="dcterms:W3CDTF">2025-12-10T09:56:00Z</dcterms:modified>
</cp:coreProperties>
</file>