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D6E4" w14:textId="77777777" w:rsidR="0098296C" w:rsidRPr="0098296C" w:rsidRDefault="0098296C" w:rsidP="0098296C">
      <w:pPr>
        <w:jc w:val="both"/>
        <w:rPr>
          <w:rFonts w:ascii="Palatino Linotype" w:hAnsi="Palatino Linotype"/>
          <w:b/>
          <w:bCs/>
          <w:sz w:val="32"/>
          <w:szCs w:val="24"/>
          <w:lang w:val="vi-VN"/>
        </w:rPr>
      </w:pPr>
      <w:r w:rsidRPr="0098296C">
        <w:rPr>
          <w:rFonts w:ascii="Palatino Linotype" w:hAnsi="Palatino Linotype"/>
          <w:b/>
          <w:bCs/>
          <w:sz w:val="32"/>
          <w:szCs w:val="24"/>
          <w:lang w:val="vi-VN"/>
        </w:rPr>
        <w:t>Materiality Assessment</w:t>
      </w:r>
    </w:p>
    <w:p w14:paraId="494BE31C" w14:textId="40F6D597" w:rsidR="0098296C" w:rsidRPr="0098296C" w:rsidRDefault="0098296C" w:rsidP="0098296C">
      <w:pPr>
        <w:jc w:val="both"/>
        <w:rPr>
          <w:rFonts w:ascii="Palatino Linotype" w:hAnsi="Palatino Linotype"/>
          <w:lang w:val="vi-VN"/>
        </w:rPr>
      </w:pPr>
      <w:r w:rsidRPr="0098296C">
        <w:rPr>
          <w:rFonts w:ascii="Palatino Linotype" w:hAnsi="Palatino Linotype"/>
          <w:lang w:val="vi-VN"/>
        </w:rPr>
        <w:drawing>
          <wp:inline distT="0" distB="0" distL="0" distR="0" wp14:anchorId="6FE0A687" wp14:editId="20A92CFD">
            <wp:extent cx="6120765" cy="1657985"/>
            <wp:effectExtent l="0" t="0" r="0" b="0"/>
            <wp:docPr id="1144604730" name="Picture 4" descr="Decorative banner images that reads, &quot;Materiality Assess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s that reads, &quot;Materiality Assessment&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7F5493CB"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So far in this course series, we have seen the role that ESG plays in contributing to a more sustainable and responsible future through stories and case studies, the barriers it encounters and the mindset change that you need to understand to implement it. </w:t>
      </w:r>
    </w:p>
    <w:p w14:paraId="6AB6BECA"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 xml:space="preserve">Would you know where to look for information to develop an ESG initiative? What are the tools and questions that you need to apply? When developing an ESG initiative, you need to consider the concept of materiality and be able to answer the right questions to develop a Materiality Assessment. </w:t>
      </w:r>
    </w:p>
    <w:p w14:paraId="7FC248E2" w14:textId="77777777" w:rsidR="0098296C" w:rsidRPr="0098296C" w:rsidRDefault="0098296C" w:rsidP="0098296C">
      <w:pPr>
        <w:jc w:val="both"/>
        <w:rPr>
          <w:rFonts w:ascii="Palatino Linotype" w:hAnsi="Palatino Linotype"/>
          <w:b/>
          <w:bCs/>
          <w:lang w:val="vi-VN"/>
        </w:rPr>
      </w:pPr>
      <w:r w:rsidRPr="0098296C">
        <w:rPr>
          <w:rFonts w:ascii="Palatino Linotype" w:hAnsi="Palatino Linotype"/>
          <w:b/>
          <w:bCs/>
          <w:lang w:val="vi-VN"/>
        </w:rPr>
        <w:t>What Should a Materiality Assessment Include?</w:t>
      </w:r>
    </w:p>
    <w:p w14:paraId="5B730FD2"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These are the questions that you need to answer when developing a Materiality Assessment:</w:t>
      </w:r>
    </w:p>
    <w:p w14:paraId="6832BFBB"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Who are the relevant parties?</w:t>
      </w:r>
    </w:p>
    <w:p w14:paraId="7DF25DF8"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 xml:space="preserve">Do the relevant parties include employees, suppliers, customers and communities? </w:t>
      </w:r>
    </w:p>
    <w:p w14:paraId="560BE8A8"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Do we need to consider influence in terms of impact on the economy, the environment and people?</w:t>
      </w:r>
    </w:p>
    <w:p w14:paraId="21E94EB9"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Is influence purely financial, in terms of costs or compliance?</w:t>
      </w:r>
    </w:p>
    <w:p w14:paraId="0E7DD2F2"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Are the relevant parties only financial decision-makers such as investors and financiers?</w:t>
      </w:r>
    </w:p>
    <w:p w14:paraId="0C124930" w14:textId="77777777" w:rsidR="0098296C" w:rsidRPr="0098296C" w:rsidRDefault="0098296C" w:rsidP="0098296C">
      <w:pPr>
        <w:numPr>
          <w:ilvl w:val="0"/>
          <w:numId w:val="1"/>
        </w:numPr>
        <w:jc w:val="both"/>
        <w:rPr>
          <w:rFonts w:ascii="Palatino Linotype" w:hAnsi="Palatino Linotype"/>
          <w:lang w:val="vi-VN"/>
        </w:rPr>
      </w:pPr>
      <w:r w:rsidRPr="0098296C">
        <w:rPr>
          <w:rFonts w:ascii="Palatino Linotype" w:hAnsi="Palatino Linotype"/>
          <w:lang w:val="vi-VN"/>
        </w:rPr>
        <w:t>How must influence be interpreted?</w:t>
      </w:r>
    </w:p>
    <w:p w14:paraId="348E5D8D" w14:textId="77777777" w:rsidR="0098296C" w:rsidRPr="0098296C" w:rsidRDefault="0098296C" w:rsidP="0098296C">
      <w:pPr>
        <w:jc w:val="both"/>
        <w:rPr>
          <w:rFonts w:ascii="Palatino Linotype" w:hAnsi="Palatino Linotype"/>
          <w:b/>
          <w:bCs/>
          <w:lang w:val="vi-VN"/>
        </w:rPr>
      </w:pPr>
      <w:r w:rsidRPr="0098296C">
        <w:rPr>
          <w:rFonts w:ascii="Palatino Linotype" w:hAnsi="Palatino Linotype"/>
          <w:b/>
          <w:bCs/>
          <w:lang w:val="vi-VN"/>
        </w:rPr>
        <w:lastRenderedPageBreak/>
        <w:t>Which Relevant Parties Do You Need to Consider?</w:t>
      </w:r>
    </w:p>
    <w:p w14:paraId="54A7BD04"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Let’s consider the first element in a Materiality Assessment: the relevant parties. </w:t>
      </w:r>
    </w:p>
    <w:p w14:paraId="420B37A4"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Critical ESG elements for an organization are characterized by “double materiality”, which means organization impact on both stakeholders and business.</w:t>
      </w:r>
    </w:p>
    <w:p w14:paraId="43626BB7" w14:textId="77777777" w:rsidR="0098296C" w:rsidRPr="0098296C" w:rsidRDefault="0098296C" w:rsidP="0098296C">
      <w:pPr>
        <w:numPr>
          <w:ilvl w:val="0"/>
          <w:numId w:val="2"/>
        </w:numPr>
        <w:jc w:val="both"/>
        <w:rPr>
          <w:rFonts w:ascii="Palatino Linotype" w:hAnsi="Palatino Linotype"/>
          <w:lang w:val="vi-VN"/>
        </w:rPr>
      </w:pPr>
      <w:r w:rsidRPr="0098296C">
        <w:rPr>
          <w:rFonts w:ascii="Palatino Linotype" w:hAnsi="Palatino Linotype"/>
          <w:b/>
          <w:bCs/>
          <w:lang w:val="vi-VN"/>
        </w:rPr>
        <w:t>Impact to relevant parties - Impact Materiality</w:t>
      </w:r>
    </w:p>
    <w:p w14:paraId="31CB1CDB" w14:textId="77777777" w:rsidR="0098296C" w:rsidRPr="0098296C" w:rsidRDefault="0098296C" w:rsidP="0098296C">
      <w:pPr>
        <w:numPr>
          <w:ilvl w:val="1"/>
          <w:numId w:val="2"/>
        </w:numPr>
        <w:jc w:val="both"/>
        <w:rPr>
          <w:rFonts w:ascii="Palatino Linotype" w:hAnsi="Palatino Linotype"/>
          <w:lang w:val="vi-VN"/>
        </w:rPr>
      </w:pPr>
      <w:r w:rsidRPr="0098296C">
        <w:rPr>
          <w:rFonts w:ascii="Palatino Linotype" w:hAnsi="Palatino Linotype"/>
          <w:lang w:val="vi-VN"/>
        </w:rPr>
        <w:t>It reflects the organizations most significant impacts on the economy, environment, and society.</w:t>
      </w:r>
    </w:p>
    <w:p w14:paraId="581EBB13" w14:textId="77777777" w:rsidR="0098296C" w:rsidRPr="0098296C" w:rsidRDefault="0098296C" w:rsidP="0098296C">
      <w:pPr>
        <w:numPr>
          <w:ilvl w:val="1"/>
          <w:numId w:val="2"/>
        </w:numPr>
        <w:jc w:val="both"/>
        <w:rPr>
          <w:rFonts w:ascii="Palatino Linotype" w:hAnsi="Palatino Linotype"/>
          <w:lang w:val="vi-VN"/>
        </w:rPr>
      </w:pPr>
      <w:r w:rsidRPr="0098296C">
        <w:rPr>
          <w:rFonts w:ascii="Palatino Linotype" w:hAnsi="Palatino Linotype"/>
          <w:lang w:val="vi-VN"/>
        </w:rPr>
        <w:t>The primary audience are Customers, Community, Employees, and Investors.</w:t>
      </w:r>
    </w:p>
    <w:p w14:paraId="2DFBA69D" w14:textId="77777777" w:rsidR="0098296C" w:rsidRPr="0098296C" w:rsidRDefault="0098296C" w:rsidP="0098296C">
      <w:pPr>
        <w:numPr>
          <w:ilvl w:val="0"/>
          <w:numId w:val="2"/>
        </w:numPr>
        <w:jc w:val="both"/>
        <w:rPr>
          <w:rFonts w:ascii="Palatino Linotype" w:hAnsi="Palatino Linotype"/>
          <w:lang w:val="vi-VN"/>
        </w:rPr>
      </w:pPr>
      <w:r w:rsidRPr="0098296C">
        <w:rPr>
          <w:rFonts w:ascii="Palatino Linotype" w:hAnsi="Palatino Linotype"/>
          <w:b/>
          <w:bCs/>
          <w:lang w:val="vi-VN"/>
        </w:rPr>
        <w:t>Impact to the business - Financial Materiality</w:t>
      </w:r>
    </w:p>
    <w:p w14:paraId="2A339F4A" w14:textId="77777777" w:rsidR="0098296C" w:rsidRPr="0098296C" w:rsidRDefault="0098296C" w:rsidP="0098296C">
      <w:pPr>
        <w:numPr>
          <w:ilvl w:val="1"/>
          <w:numId w:val="2"/>
        </w:numPr>
        <w:jc w:val="both"/>
        <w:rPr>
          <w:rFonts w:ascii="Palatino Linotype" w:hAnsi="Palatino Linotype"/>
          <w:lang w:val="vi-VN"/>
        </w:rPr>
      </w:pPr>
      <w:r w:rsidRPr="0098296C">
        <w:rPr>
          <w:rFonts w:ascii="Palatino Linotype" w:hAnsi="Palatino Linotype"/>
          <w:lang w:val="vi-VN"/>
        </w:rPr>
        <w:t>It's likely to impact the financial condition or operating performance of a company (i.e., substantively influence the assessments and decisions of stakeholders).</w:t>
      </w:r>
    </w:p>
    <w:p w14:paraId="1972B3F3" w14:textId="77777777" w:rsidR="0098296C" w:rsidRPr="0098296C" w:rsidRDefault="0098296C" w:rsidP="0098296C">
      <w:pPr>
        <w:numPr>
          <w:ilvl w:val="1"/>
          <w:numId w:val="2"/>
        </w:numPr>
        <w:jc w:val="both"/>
        <w:rPr>
          <w:rFonts w:ascii="Palatino Linotype" w:hAnsi="Palatino Linotype"/>
          <w:lang w:val="vi-VN"/>
        </w:rPr>
      </w:pPr>
      <w:r w:rsidRPr="0098296C">
        <w:rPr>
          <w:rFonts w:ascii="Palatino Linotype" w:hAnsi="Palatino Linotype"/>
          <w:lang w:val="vi-VN"/>
        </w:rPr>
        <w:t>The primary audience are Investors and Company's Leadership.</w:t>
      </w:r>
    </w:p>
    <w:p w14:paraId="606E317D" w14:textId="77777777" w:rsidR="0098296C" w:rsidRPr="0098296C" w:rsidRDefault="0098296C" w:rsidP="0098296C">
      <w:pPr>
        <w:jc w:val="both"/>
        <w:rPr>
          <w:rFonts w:ascii="Palatino Linotype" w:hAnsi="Palatino Linotype"/>
          <w:b/>
          <w:bCs/>
          <w:lang w:val="vi-VN"/>
        </w:rPr>
      </w:pPr>
      <w:r w:rsidRPr="0098296C">
        <w:rPr>
          <w:rFonts w:ascii="Palatino Linotype" w:hAnsi="Palatino Linotype"/>
          <w:b/>
          <w:bCs/>
          <w:lang w:val="vi-VN"/>
        </w:rPr>
        <w:t>How Can We Define a Material Issue?</w:t>
      </w:r>
    </w:p>
    <w:p w14:paraId="7E6D7BCC" w14:textId="77777777" w:rsidR="0098296C" w:rsidRPr="0098296C" w:rsidRDefault="0098296C" w:rsidP="0098296C">
      <w:pPr>
        <w:jc w:val="both"/>
        <w:rPr>
          <w:rFonts w:ascii="Palatino Linotype" w:hAnsi="Palatino Linotype"/>
          <w:lang w:val="vi-VN"/>
        </w:rPr>
      </w:pPr>
      <w:r w:rsidRPr="0098296C">
        <w:rPr>
          <w:rFonts w:ascii="Palatino Linotype" w:hAnsi="Palatino Linotype"/>
          <w:lang w:val="vi-VN"/>
        </w:rPr>
        <w:t>There are many positions on what constitutes a material issue. Various definitions regarding materiality are presented by influential organizations such as the US SEC, ISSB, GRI, and The European Financial Reporting Advisory Group (EFRAG), who's role is to ensure that International Financial Reporting Standards are responsive to European needs and concerns.</w:t>
      </w:r>
    </w:p>
    <w:p w14:paraId="493336D2" w14:textId="41682771" w:rsidR="0098296C" w:rsidRPr="0098296C" w:rsidRDefault="0098296C" w:rsidP="0098296C">
      <w:pPr>
        <w:jc w:val="both"/>
        <w:rPr>
          <w:rFonts w:ascii="Palatino Linotype" w:hAnsi="Palatino Linotype"/>
          <w:lang w:val="vi-VN"/>
        </w:rPr>
      </w:pPr>
      <w:r w:rsidRPr="0098296C">
        <w:rPr>
          <w:rFonts w:ascii="Palatino Linotype" w:hAnsi="Palatino Linotype"/>
          <w:lang w:val="vi-VN"/>
        </w:rPr>
        <w:drawing>
          <wp:inline distT="0" distB="0" distL="0" distR="0" wp14:anchorId="18618068" wp14:editId="23B98ED4">
            <wp:extent cx="6120765" cy="3522980"/>
            <wp:effectExtent l="0" t="0" r="0" b="0"/>
            <wp:docPr id="262176771" name="Picture 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3522980"/>
                    </a:xfrm>
                    <a:prstGeom prst="rect">
                      <a:avLst/>
                    </a:prstGeom>
                    <a:noFill/>
                    <a:ln>
                      <a:noFill/>
                    </a:ln>
                  </pic:spPr>
                </pic:pic>
              </a:graphicData>
            </a:graphic>
          </wp:inline>
        </w:drawing>
      </w:r>
    </w:p>
    <w:p w14:paraId="4CCAFDEA" w14:textId="77777777" w:rsidR="0098296C" w:rsidRPr="0098296C" w:rsidRDefault="0098296C" w:rsidP="0098296C">
      <w:pPr>
        <w:numPr>
          <w:ilvl w:val="0"/>
          <w:numId w:val="3"/>
        </w:numPr>
        <w:jc w:val="both"/>
        <w:rPr>
          <w:rFonts w:ascii="Palatino Linotype" w:hAnsi="Palatino Linotype"/>
          <w:lang w:val="vi-VN"/>
        </w:rPr>
      </w:pPr>
      <w:r w:rsidRPr="0098296C">
        <w:rPr>
          <w:rFonts w:ascii="Palatino Linotype" w:hAnsi="Palatino Linotype"/>
          <w:lang w:val="vi-VN"/>
        </w:rPr>
        <w:t>The </w:t>
      </w:r>
      <w:r w:rsidRPr="0098296C">
        <w:rPr>
          <w:rFonts w:ascii="Palatino Linotype" w:hAnsi="Palatino Linotype"/>
          <w:b/>
          <w:bCs/>
          <w:lang w:val="vi-VN"/>
        </w:rPr>
        <w:t>U.S. Securities and Exchange Commission (US SEC) </w:t>
      </w:r>
      <w:r w:rsidRPr="0098296C">
        <w:rPr>
          <w:rFonts w:ascii="Palatino Linotype" w:hAnsi="Palatino Linotype"/>
          <w:lang w:val="vi-VN"/>
        </w:rPr>
        <w:t>and </w:t>
      </w:r>
      <w:r w:rsidRPr="0098296C">
        <w:rPr>
          <w:rFonts w:ascii="Palatino Linotype" w:hAnsi="Palatino Linotype"/>
          <w:b/>
          <w:bCs/>
          <w:lang w:val="vi-VN"/>
        </w:rPr>
        <w:t xml:space="preserve">International Sustainability Standards Board (ISSB) </w:t>
      </w:r>
      <w:r w:rsidRPr="0098296C">
        <w:rPr>
          <w:rFonts w:ascii="Palatino Linotype" w:hAnsi="Palatino Linotype"/>
          <w:lang w:val="vi-VN"/>
        </w:rPr>
        <w:t>define an ESG issue as material if it affects, or has the potential to affect, the cash flow and financial value creation of a company.</w:t>
      </w:r>
    </w:p>
    <w:p w14:paraId="227BDBDE" w14:textId="77777777" w:rsidR="0098296C" w:rsidRPr="0098296C" w:rsidRDefault="0098296C" w:rsidP="0098296C">
      <w:pPr>
        <w:numPr>
          <w:ilvl w:val="0"/>
          <w:numId w:val="3"/>
        </w:numPr>
        <w:jc w:val="both"/>
        <w:rPr>
          <w:rFonts w:ascii="Palatino Linotype" w:hAnsi="Palatino Linotype"/>
          <w:lang w:val="vi-VN"/>
        </w:rPr>
      </w:pPr>
      <w:r w:rsidRPr="0098296C">
        <w:rPr>
          <w:rFonts w:ascii="Palatino Linotype" w:hAnsi="Palatino Linotype"/>
          <w:lang w:val="vi-VN"/>
        </w:rPr>
        <w:t>According to </w:t>
      </w:r>
      <w:r w:rsidRPr="0098296C">
        <w:rPr>
          <w:rFonts w:ascii="Palatino Linotype" w:hAnsi="Palatino Linotype"/>
          <w:b/>
          <w:bCs/>
          <w:lang w:val="vi-VN"/>
        </w:rPr>
        <w:t>Global Reporting Initiative (GRI)</w:t>
      </w:r>
      <w:r w:rsidRPr="0098296C">
        <w:rPr>
          <w:rFonts w:ascii="Palatino Linotype" w:hAnsi="Palatino Linotype"/>
          <w:lang w:val="vi-VN"/>
        </w:rPr>
        <w:t>, an ESG issue is considered material based on its impact on the environment, society, and economy, considering the organization's activities across the value chain.</w:t>
      </w:r>
    </w:p>
    <w:p w14:paraId="04AE8FAC" w14:textId="77777777" w:rsidR="0098296C" w:rsidRPr="0098296C" w:rsidRDefault="0098296C" w:rsidP="0098296C">
      <w:pPr>
        <w:numPr>
          <w:ilvl w:val="0"/>
          <w:numId w:val="3"/>
        </w:numPr>
        <w:jc w:val="both"/>
        <w:rPr>
          <w:rFonts w:ascii="Palatino Linotype" w:hAnsi="Palatino Linotype"/>
          <w:lang w:val="vi-VN"/>
        </w:rPr>
      </w:pPr>
      <w:r w:rsidRPr="0098296C">
        <w:rPr>
          <w:rFonts w:ascii="Palatino Linotype" w:hAnsi="Palatino Linotype"/>
          <w:b/>
          <w:bCs/>
          <w:lang w:val="vi-VN"/>
        </w:rPr>
        <w:t xml:space="preserve">The European Financial Reporting Advisory Group (EFRAG) </w:t>
      </w:r>
      <w:r w:rsidRPr="0098296C">
        <w:rPr>
          <w:rFonts w:ascii="Palatino Linotype" w:hAnsi="Palatino Linotype"/>
          <w:lang w:val="vi-VN"/>
        </w:rPr>
        <w:t>emphasizes the consideration of both financial and impact aspects of ESG issues, recognizing that a company can have an impact on, and be impacted by, such issues.</w:t>
      </w:r>
    </w:p>
    <w:p w14:paraId="575A0B29" w14:textId="77777777" w:rsidR="00CF4886" w:rsidRPr="0098296C" w:rsidRDefault="00CF4886" w:rsidP="0098296C">
      <w:pPr>
        <w:jc w:val="both"/>
        <w:rPr>
          <w:rFonts w:ascii="Palatino Linotype" w:hAnsi="Palatino Linotype"/>
        </w:rPr>
      </w:pPr>
    </w:p>
    <w:sectPr w:rsidR="00CF4886" w:rsidRPr="0098296C"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9134CCFE-5117-4C60-BFED-7B21E6D518B8}"/>
    <w:embedBold r:id="rId2" w:fontKey="{D77E3AA1-E7CF-4B84-90FF-6B26258227EE}"/>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0797"/>
    <w:multiLevelType w:val="multilevel"/>
    <w:tmpl w:val="D5F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6E2C90"/>
    <w:multiLevelType w:val="multilevel"/>
    <w:tmpl w:val="A502AE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06659B"/>
    <w:multiLevelType w:val="multilevel"/>
    <w:tmpl w:val="91A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62515">
    <w:abstractNumId w:val="0"/>
  </w:num>
  <w:num w:numId="2" w16cid:durableId="1283271718">
    <w:abstractNumId w:val="1"/>
  </w:num>
  <w:num w:numId="3" w16cid:durableId="1039089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6C"/>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7314C6"/>
    <w:rsid w:val="00826A98"/>
    <w:rsid w:val="0098296C"/>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88FD"/>
  <w15:chartTrackingRefBased/>
  <w15:docId w15:val="{7E8E39C4-1F49-4AE1-9A72-365DC5DE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982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96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829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29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29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29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29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98296C"/>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98296C"/>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98296C"/>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98296C"/>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98296C"/>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98296C"/>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98296C"/>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98296C"/>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98296C"/>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98296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8296C"/>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9829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296C"/>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98296C"/>
    <w:pPr>
      <w:ind w:left="720"/>
      <w:contextualSpacing/>
    </w:pPr>
  </w:style>
  <w:style w:type="character" w:styleId="IntenseEmphasis">
    <w:name w:val="Intense Emphasis"/>
    <w:basedOn w:val="DefaultParagraphFont"/>
    <w:uiPriority w:val="21"/>
    <w:qFormat/>
    <w:rsid w:val="0098296C"/>
    <w:rPr>
      <w:i/>
      <w:iCs/>
      <w:color w:val="0F4761" w:themeColor="accent1" w:themeShade="BF"/>
    </w:rPr>
  </w:style>
  <w:style w:type="paragraph" w:styleId="IntenseQuote">
    <w:name w:val="Intense Quote"/>
    <w:basedOn w:val="Normal"/>
    <w:next w:val="Normal"/>
    <w:link w:val="IntenseQuoteChar"/>
    <w:uiPriority w:val="30"/>
    <w:qFormat/>
    <w:rsid w:val="00982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6C"/>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982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2025-12-10T09:58:00Z</dcterms:created>
  <dcterms:modified xsi:type="dcterms:W3CDTF">2025-12-10T09:58:00Z</dcterms:modified>
</cp:coreProperties>
</file>