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left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44"/>
          <w:szCs w:val="44"/>
        </w:rPr>
        <w:t xml:space="preserve">TOOLBOX JL</w:t>
      </w:r>
    </w:p>
    <w:p>
      <w:pPr>
        <w:spacing w:after="600"/>
      </w:pPr>
      <w:r>
        <w:rPr>
          <w:rFonts w:ascii="Montserrat" w:cs="Montserrat" w:eastAsia="Montserrat" w:hAnsi="Montserrat"/>
          <w:b/>
          <w:bCs/>
          <w:color w:val="E70012"/>
          <w:sz w:val="20"/>
          <w:szCs w:val="20"/>
        </w:rPr>
        <w:t xml:space="preserve">POTENCIA SIN PAUSAS</w:t>
      </w:r>
    </w:p>
    <w:p>
      <w:pPr>
        <w:spacing w:after="100" w:before="800"/>
      </w:pPr>
      <w:r>
        <w:rPr>
          <w:rFonts w:ascii="Montserrat" w:cs="Montserrat" w:eastAsia="Montserrat" w:hAnsi="Montserrat"/>
          <w:b/>
          <w:bCs/>
          <w:color w:val="E70012"/>
          <w:sz w:val="24"/>
          <w:szCs w:val="24"/>
        </w:rPr>
        <w:t xml:space="preserve">DOC-TRD-01</w:t>
      </w:r>
    </w:p>
    <w:p>
      <w:pPr>
        <w:spacing w:after="200"/>
      </w:pPr>
      <w:r>
        <w:rPr>
          <w:rFonts w:ascii="Montserrat" w:cs="Montserrat" w:eastAsia="Montserrat" w:hAnsi="Montserrat"/>
          <w:b/>
          <w:bCs/>
          <w:i/>
          <w:iCs/>
          <w:color w:val="0B0E3D"/>
          <w:sz w:val="40"/>
          <w:szCs w:val="40"/>
        </w:rPr>
        <w:t xml:space="preserve">Documento de Requerimientos Técnicos (TRD)</w:t>
      </w:r>
    </w:p>
    <w:p>
      <w:pPr>
        <w:spacing w:after="500"/>
      </w:pPr>
      <w:r>
        <w:rPr>
          <w:rFonts w:ascii="Inter" w:cs="Inter" w:eastAsia="Inter" w:hAnsi="Inter"/>
          <w:color w:val="5C6470"/>
          <w:sz w:val="24"/>
          <w:szCs w:val="24"/>
        </w:rPr>
        <w:t xml:space="preserve">Plataforma de Gestión, Alquiler, Venta de Herramientas y Logística Inteligente — ToolBox JL</w:t>
      </w:r>
    </w:p>
    <w:p>
      <w:pPr>
        <w:spacing w:after="40" w:before="1600"/>
      </w:pPr>
      <w:r>
        <w:rPr>
          <w:rFonts w:ascii="Inter" w:cs="Inter" w:eastAsia="Inter" w:hAnsi="Inter"/>
          <w:sz w:val="20"/>
          <w:szCs w:val="20"/>
        </w:rPr>
        <w:t xml:space="preserve">Proyecto: Sistema de Gestión, Alquiler, Venta de Herramientas y Logística Inteligente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Cliente: ToolBox JL S.A.S.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Versión del documento: 1.0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Fecha: 21 de agosto de 2026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Elaborado por: Equipo de Arquitectura de Soluciones</w:t>
      </w:r>
    </w:p>
    <w:p>
      <w:r>
        <w:br w:type="page"/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1. Propósito y Relación con Otros Documentos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Este TRD traduce cada requisito funcional (RF) del ERS del cliente y cada historia de usuario del PRD a un componente técnico concreto: módulo de NestJS, endpoint, tabla de datos o agente de IA. Las decisiones de stack están fijadas en el Documento de Arquitectura; este documento no las repite salvo cuando es necesario para precisar un requisito. El detalle de modelo de datos y contratos de API vive en el Esquema de Backend.</w:t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2. Requerimientos Funcionales por Módulo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141CDB"/>
          <w:sz w:val="24"/>
          <w:szCs w:val="24"/>
        </w:rPr>
        <w:t xml:space="preserve">Módulo 1 — Gestión de Productos, Inventario y Serialización QR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40"/>
        <w:gridCol w:w="3960"/>
      </w:tblGrid>
      <w:tr>
        <w:trPr>
          <w:tblHeader/>
        </w:trPr>
        <w:tc>
          <w:tcPr>
            <w:tcW w:type="pct" w:w="1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pct" w:w="4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pct" w:w="4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Componente técnico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RF-1.1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Registro de ficha técnica de producto (modelo base): marca, categoría, potencia, peso, volumen, manuales PDF, costo, tarifas, interés de mora.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Módulo CatalogModule (NestJS). Entidad ToolModel. Manuales PDF en Supabase Storage (bucket manuales).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RF-1.2</w:t>
            </w:r>
          </w:p>
        </w:tc>
        <w:tc>
          <w:tcPr>
            <w:tcW w:type="pct" w:w="4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Generación y serialización única (QR) por unidad física al crearla.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Módulo InventoryModule. Entidad ToolUnit (UUID + payload QR). Generación de imagen QR server-side (librería qrcode) al crear la unidad.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RF-1.3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Hoja de vida y estado físico: Nuevo, Excelente, Operativo, En Mantenimiento, Dado de Baja; inspecciones fotográficas.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Entidad ToolUnitStatusLog con fotos en Supabase Storage (bucket inspecciones). Máquina de estados validada en el dominio (Domain layer).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RF-1.4</w:t>
            </w:r>
          </w:p>
        </w:tc>
        <w:tc>
          <w:tcPr>
            <w:tcW w:type="pct" w:w="4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Escaneo QR en PWA con cámara nativa; despliegue inmediato de ficha y cambio de estado operacional.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PWA Logística (Angular) con librería de lectura QR vía WebRTC/`BarcodeDetector`; llamada a GET /inventory/units/{id} y PATCH /inventory/units/{id}/status.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141CDB"/>
          <w:sz w:val="24"/>
          <w:szCs w:val="24"/>
        </w:rPr>
        <w:t xml:space="preserve">Módulo 2 — Ventas, Alquileres, Depósitos de Garantía y Pagos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40"/>
        <w:gridCol w:w="3960"/>
      </w:tblGrid>
      <w:tr>
        <w:trPr>
          <w:tblHeader/>
        </w:trPr>
        <w:tc>
          <w:tcPr>
            <w:tcW w:type="pct" w:w="1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pct" w:w="4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pct" w:w="4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Componente técnico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RF-2.1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Motor de cotización: tarifa por días, costo de envío/recogida por zona, cálculo de depósito de garantía.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Módulo PricingModule (Application layer). Query CalcularCotizacionQuery, parametrizada por ZonaTarifa y ToolModel.depositoPct.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RF-2.2</w:t>
            </w:r>
          </w:p>
        </w:tc>
        <w:tc>
          <w:tcPr>
            <w:tcW w:type="pct" w:w="4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Depósito de garantía configurable; hold con tarjeta; cobro+reembolso con PSE/contra entrega.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PaymentsModule. Integración Wompi (sandbox): preautorización (hold) para tarjeta; cargo + refund posterior para PSE/COD.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RF-2.3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Pasarela de pagos local con split de pagos.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 WompiClient en Infrastructure layer; configuración de reglas de split (cuenta matriz / logística) en WompiSplitConfig.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RF-2.4</w:t>
            </w:r>
          </w:p>
        </w:tc>
        <w:tc>
          <w:tcPr>
            <w:tcW w:type="pct" w:w="4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Pago Contra Entrega (COD) confirmado por el Repartidor desde la PWA.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Endpoint POST /orders/{id}/confirm-cod-payment, restringido por rol Repartidor (RBAC).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141CDB"/>
          <w:sz w:val="24"/>
          <w:szCs w:val="24"/>
        </w:rPr>
        <w:t xml:space="preserve">Módulo 3 — Gestión de Entregas, Flota y Logística de Reparto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40"/>
        <w:gridCol w:w="3960"/>
      </w:tblGrid>
      <w:tr>
        <w:trPr>
          <w:tblHeader/>
        </w:trPr>
        <w:tc>
          <w:tcPr>
            <w:tcW w:type="pct" w:w="1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pct" w:w="4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pct" w:w="4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Componente técnico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RF-3.1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Administración de vehículos: tipo, capacidad de carga, zonas asignadas.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Módulo FleetModule. Entidad Vehicle (tipo, capacidadKg, capacidadM3, zonas[]).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RF-3.2</w:t>
            </w:r>
          </w:p>
        </w:tc>
        <w:tc>
          <w:tcPr>
            <w:tcW w:type="pct" w:w="4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Recargo logístico por peso y modalidad de entrega/recogida.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Regla de negocio en PricingModule: ShippingSurchargeCalculator(peso, modalidad, zona).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RF-3.3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Panel de seguimiento de envíos en mapa con estados en tiempo real.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Panel Admin/Gerente (Angular) suscrito a Supabase Realtime sobre la tabla shipments; mapa con proveedor de mapas embebible (p. ej. MapLibre).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141CDB"/>
          <w:sz w:val="24"/>
          <w:szCs w:val="24"/>
        </w:rPr>
        <w:t xml:space="preserve">Módulo 4 — Devoluciones, Inspección y Facturación de Mora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40"/>
        <w:gridCol w:w="3960"/>
      </w:tblGrid>
      <w:tr>
        <w:trPr>
          <w:tblHeader/>
        </w:trPr>
        <w:tc>
          <w:tcPr>
            <w:tcW w:type="pct" w:w="1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pct" w:w="4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pct" w:w="4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Componente técnico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RF-4.1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Modalidades de devolución: en sede (sin costo) o recogida a domicilio (con tarifa).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Campo ReturnMode en Order; regla aplicada en PricingModule al generar la orden de devolución.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RF-4.2</w:t>
            </w:r>
          </w:p>
        </w:tc>
        <w:tc>
          <w:tcPr>
            <w:tcW w:type="pct" w:w="4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Checklist obligatorio de inspección en recepción; hallazgo fotográfico activa ejecución de garantía.</w:t>
            </w:r>
          </w:p>
        </w:tc>
        <w:tc>
          <w:tcPr>
            <w:tcW w:type="pct" w:w="4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InspectionModule. Entidad InspectionChecklist; al marcar daño, dispara Command EjecutarGarantiaCommand.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RF-4.3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Facturación automática de mora si la devolución es posterior a lo pactado.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Job programado (Workers) MoraCalculatorJob + Command GenerarComprobanteMoraCommand; notificación al cliente vía Agente 2 (Fase 2) o correo (Fase 1).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141CDB"/>
          <w:sz w:val="24"/>
          <w:szCs w:val="24"/>
        </w:rPr>
        <w:t xml:space="preserve">Módulo 5 — Tableros de Control, KPIs y Analítica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Sin RF numerados en el ERS original; se especifican como vistas materializadas / queries agregadas sobre el esquema transaccional, expuestas por AnalyticsModule (ver Esquema de Backend §5). En Fase 1 se entregan los KPIs de ingresos; ROI, utilización y productividad se activan en Fase 2 cuando existe suficiente historial transaccional para ser representativos.</w:t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3. Requerimientos No Funcionales (RNF)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250"/>
        <w:gridCol w:w="2250"/>
      </w:tblGrid>
      <w:tr>
        <w:trPr>
          <w:tblHeader/>
        </w:trPr>
        <w:tc>
          <w:tcPr>
            <w:tcW w:type="pct" w:w="1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RNF</w:t>
            </w:r>
          </w:p>
        </w:tc>
        <w:tc>
          <w:tcPr>
            <w:tcW w:type="pct" w:w="4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pct" w:w="25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Objetivo medible</w:t>
            </w:r>
          </w:p>
        </w:tc>
        <w:tc>
          <w:tcPr>
            <w:tcW w:type="pct" w:w="25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Cómo se verifica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RNF-1</w:t>
            </w:r>
          </w:p>
        </w:tc>
        <w:tc>
          <w:tcPr>
            <w:tcW w:type="pct" w:w="4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Latencia de operaciones CRUD de la API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p95 &lt; 200 ms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Pruebas de carga (k6/Artillery) contra entornos de staging en Railway antes de cada release.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RNF-2</w:t>
            </w:r>
          </w:p>
        </w:tc>
        <w:tc>
          <w:tcPr>
            <w:tcW w:type="pct" w:w="4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Latencia total de los agentes de voz (Agente 3, y notas de voz del Agente 2)</w:t>
            </w:r>
          </w:p>
        </w:tc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&lt; 2.5 s de principio a fin</w:t>
            </w:r>
          </w:p>
        </w:tc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Medición end-to-end (recepción de audio → respuesta hablada) con logging de tiempos por etapa (STT, LLM, TTS).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RNF-3</w:t>
            </w:r>
          </w:p>
        </w:tc>
        <w:tc>
          <w:tcPr>
            <w:tcW w:type="pct" w:w="4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Cifrado en tránsito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TLS 1.3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Verificado por defecto en Vercel, Railway y Supabase; validado con escaneo SSL (p. ej. SSL Labs) antes de producción.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RNF-4</w:t>
            </w:r>
          </w:p>
        </w:tc>
        <w:tc>
          <w:tcPr>
            <w:tcW w:type="pct" w:w="4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Cifrado en reposo</w:t>
            </w:r>
          </w:p>
        </w:tc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AES-256</w:t>
            </w:r>
          </w:p>
        </w:tc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Cifrado nativo de Supabase/Postgres; sin almacenamiento de datos sensibles de pago (tokenizados por Wompi).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RNF-5</w:t>
            </w:r>
          </w:p>
        </w:tc>
        <w:tc>
          <w:tcPr>
            <w:tcW w:type="pct" w:w="4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Cumplimiento de protección de datos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Alineado a Ley 1581 de 2012 (Colombia)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Checklist de consentimiento, minimización de datos y derecho de eliminación revisado antes de cada release mayor.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RNF-6</w:t>
            </w:r>
          </w:p>
        </w:tc>
        <w:tc>
          <w:tcPr>
            <w:tcW w:type="pct" w:w="4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Arquitectura RESTful documentada</w:t>
            </w:r>
          </w:p>
        </w:tc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100% de endpoints con especificación OpenAPI 3.0</w:t>
            </w:r>
          </w:p>
        </w:tc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Generación automática de spec desde decoradores NestJS (@nestjs/swagger); publicación en /docs.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RNF-7</w:t>
            </w:r>
          </w:p>
        </w:tc>
        <w:tc>
          <w:tcPr>
            <w:tcW w:type="pct" w:w="4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PWA offline-first para escaneo QR e inspección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Operable sin cobertura; sincroniza al reconectar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Service Worker con cola de mutaciones (IndexedDB) y reintentos idempotentes; pruebas manuales en modo avión.</w:t>
            </w:r>
          </w:p>
        </w:tc>
      </w:tr>
      <w:tr>
        <w:tc>
          <w:tcPr>
            <w:tcW w:type="pct" w:w="1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RNF-8</w:t>
            </w:r>
          </w:p>
        </w:tc>
        <w:tc>
          <w:tcPr>
            <w:tcW w:type="pct" w:w="4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Escalabilidad horizontal bajo demanda</w:t>
            </w:r>
          </w:p>
        </w:tc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Autoescalado de instancias de API y funciones de frontend</w:t>
            </w:r>
          </w:p>
        </w:tc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Configuración de autoescalado en Railway (backend) y edge functions en Vercel (frontend).</w:t>
            </w:r>
          </w:p>
        </w:tc>
      </w:tr>
      <w:tr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RNF-9</w:t>
            </w:r>
          </w:p>
        </w:tc>
        <w:tc>
          <w:tcPr>
            <w:tcW w:type="pct" w:w="4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Disponibilidad en horario operativo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≥ 99.5%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Monitoreo de uptime (p. ej. Better Uptime) con alertas a Administrador.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4. Especificación Técnica de los Agentes de IA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Los tres agentes comparten el mismo mecanismo de tool calling: el modelo (Claude, vía Vercel AI SDK) recibe una definición tipada de cada tool disponible (equivalente a un endpoint REST del backend) y decide cuándo invocarla según la conversación. El backend nunca confía ciegamente en la salida del agente: cada tool valida su propio input con los mismos DTOs/guards que usaría un cliente humano.</w:t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4.1 Agente 1 — Programador Inteligente de Rutas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pct" w:w="25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pct" w:w="75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Especificación</w:t>
            </w:r>
          </w:p>
        </w:tc>
      </w:tr>
      <w:tr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Disparador</w:t>
            </w:r>
          </w:p>
        </w:tc>
        <w:tc>
          <w:tcPr>
            <w:tcW w:type="pct" w:w="7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Cron job en Railway Workers, ejecución nocturna (ej. 02:00 hora Colombia) para las rutas del día siguiente.</w:t>
            </w:r>
          </w:p>
        </w:tc>
      </w:tr>
      <w:tr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Entradas</w:t>
            </w:r>
          </w:p>
        </w:tc>
        <w:tc>
          <w:tcPr>
            <w:tcW w:type="pct" w:w="7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Pedidos confirmados de entrega/recogida, coordenadas geográficas, disponibilidad de repartidores por zona, capacidad de vehículo (kg/m³).</w:t>
            </w:r>
          </w:p>
        </w:tc>
      </w:tr>
      <w:tr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Tools / Endpoints</w:t>
            </w:r>
          </w:p>
        </w:tc>
        <w:tc>
          <w:tcPr>
            <w:tcW w:type="pct" w:w="7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 /api/v1/logistics/pending-orders (lectura) → POST /api/v1/logistics/assign-routes (escritura).</w:t>
            </w:r>
          </w:p>
        </w:tc>
      </w:tr>
      <w:tr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Lógica de selección</w:t>
            </w:r>
          </w:p>
        </w:tc>
        <w:tc>
          <w:tcPr>
            <w:tcW w:type="pct" w:w="7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Agrupación por densidad geográfica (clustering por zona/cuadrante) + asignación tipo bin-packing respetando el límite de peso/volumen por vehículo.</w:t>
            </w:r>
          </w:p>
        </w:tc>
      </w:tr>
      <w:tr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Manejo de errores</w:t>
            </w:r>
          </w:p>
        </w:tc>
        <w:tc>
          <w:tcPr>
            <w:tcW w:type="pct" w:w="7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 no hay capacidad suficiente para todos los pedidos del día, el agente marca los pedidos no asignados como "Pendiente — requiere revisión manual" y notifica al Gerente.</w:t>
            </w:r>
          </w:p>
        </w:tc>
      </w:tr>
      <w:tr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Salida</w:t>
            </w:r>
          </w:p>
        </w:tc>
        <w:tc>
          <w:tcPr>
            <w:tcW w:type="pct" w:w="7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Rutas persistidas (entidad Route) visibles de inmediato en la PWA de cada Repartidor.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4.2 Agente 2 — Asistente Bidireccional de WhatsApp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pct" w:w="25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pct" w:w="75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Especificación</w:t>
            </w:r>
          </w:p>
        </w:tc>
      </w:tr>
      <w:tr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Canal</w:t>
            </w:r>
          </w:p>
        </w:tc>
        <w:tc>
          <w:tcPr>
            <w:tcW w:type="pct" w:w="7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WhatsApp Business Cloud API (Meta), webhooks entrantes de texto y audio; mensajes salientes de texto, plantillas aprobadas y notas de voz.</w:t>
            </w:r>
          </w:p>
        </w:tc>
      </w:tr>
      <w:tr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Disparador</w:t>
            </w:r>
          </w:p>
        </w:tc>
        <w:tc>
          <w:tcPr>
            <w:tcW w:type="pct" w:w="7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(a) Job programado: recordatorio de voz 24 h antes del vencimiento del alquiler. (b) Evento: mensaje entrante del cliente (texto o nota de voz).</w:t>
            </w:r>
          </w:p>
        </w:tc>
      </w:tr>
      <w:tr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Pipeline de voz</w:t>
            </w:r>
          </w:p>
        </w:tc>
        <w:tc>
          <w:tcPr>
            <w:tcW w:type="pct" w:w="7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Nota de voz entrante → descarga de audio vía Cloud API → transcripción con Deepgram (STT) → interpretación de intención con Claude → síntesis de respuesta con ElevenLabs (TTS) → envío como nota de voz saliente.</w:t>
            </w:r>
          </w:p>
        </w:tc>
      </w:tr>
      <w:tr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Tools / Endpoints</w:t>
            </w:r>
          </w:p>
        </w:tc>
        <w:tc>
          <w:tcPr>
            <w:tcW w:type="pct" w:w="7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GET /api/v1/inventory/check-availability, POST /api/v1/rentals/extend, generación de link de pago Wompi.</w:t>
            </w:r>
          </w:p>
        </w:tc>
      </w:tr>
      <w:tr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Flujo de reprogramación</w:t>
            </w:r>
          </w:p>
        </w:tc>
        <w:tc>
          <w:tcPr>
            <w:tcW w:type="pct" w:w="7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1) Escucha intención de extender/reprogramar. 2) Consulta disponibilidad futura. 3) Si disponible, calcula costo adicional y ofrece: (a) link de pago inmediato o (b) acumular a factura final. 4) Invoca /rentals/extend al confirmar.</w:t>
            </w:r>
          </w:p>
        </w:tc>
      </w:tr>
      <w:tr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Guardrails</w:t>
            </w:r>
          </w:p>
        </w:tc>
        <w:tc>
          <w:tcPr>
            <w:tcW w:type="pct" w:w="7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El agente nunca ejecuta un cobro sin confirmación explícita del cliente en el turno de conversación; toda extensión queda registrada con el mensaje original como evidencia.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4.3 Agente 3 — Conserje Web de Búsqueda y Venta por Voz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pct" w:w="25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pct" w:w="75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Especificación</w:t>
            </w:r>
          </w:p>
        </w:tc>
      </w:tr>
      <w:tr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Ubicación</w:t>
            </w:r>
          </w:p>
        </w:tc>
        <w:tc>
          <w:tcPr>
            <w:tcW w:type="pct" w:w="7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Widget flotante en el Portal Cliente (micro-frontend), disponible para visitantes anónimos y clientes autenticados.</w:t>
            </w:r>
          </w:p>
        </w:tc>
      </w:tr>
      <w:tr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Transporte de audio</w:t>
            </w:r>
          </w:p>
        </w:tc>
        <w:tc>
          <w:tcPr>
            <w:tcW w:type="pct" w:w="7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Sesión LiveKit (WebRTC) entre el navegador del cliente y el pipeline de voz; streaming bidireccional de audio de baja latencia.</w:t>
            </w:r>
          </w:p>
        </w:tc>
      </w:tr>
      <w:tr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Pipeline de voz</w:t>
            </w:r>
          </w:p>
        </w:tc>
        <w:tc>
          <w:tcPr>
            <w:tcW w:type="pct" w:w="7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Audio del navegador → Deepgram STT (streaming) → Claude interpreta intención y consulta catálogo → respuesta compuesta → ElevenLabs TTS (streaming) → audio de vuelta al navegador vía LiveKit.</w:t>
            </w:r>
          </w:p>
        </w:tc>
      </w:tr>
      <w:tr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Tools / Endpoints</w:t>
            </w:r>
          </w:p>
        </w:tc>
        <w:tc>
          <w:tcPr>
            <w:tcW w:type="pct" w:w="7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Búsqueda de catálogo (GET /catalog/search), POST /api/v1/cart/add-item.</w:t>
            </w:r>
          </w:p>
        </w:tc>
      </w:tr>
      <w:tr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Ejemplo de flujo</w:t>
            </w:r>
          </w:p>
        </w:tc>
        <w:tc>
          <w:tcPr>
            <w:tcW w:type="pct" w:w="7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Cliente: "Necesito alquilar un taladro percutor para concreto por 3 días desde este jueves." → el agente filtra catálogo por categoría+atributo, valida disponibilidad de unidades para el rango de fechas, recomienda un modelo y agrega al carrito tras confirmación verbal.</w:t>
            </w:r>
          </w:p>
        </w:tc>
      </w:tr>
      <w:tr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Latencia objetivo</w:t>
            </w:r>
          </w:p>
        </w:tc>
        <w:tc>
          <w:tcPr>
            <w:tcW w:type="pct" w:w="7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&lt; 2.5 s por turno de conversación (RNF-2), medida desde fin de habla del usuario hasta inicio de la respuesta hablada.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5. Integraciones Externas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00"/>
      </w:tblGrid>
      <w:tr>
        <w:trPr>
          <w:tblHeader/>
        </w:trPr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Integración</w:t>
            </w:r>
          </w:p>
        </w:tc>
        <w:tc>
          <w:tcPr>
            <w:tcW w:type="pct" w:w="3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pct" w:w="5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Mecanismo técnico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Wompi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Pagos PSE/tarjeta, holds de garantía, split de pagos</w:t>
            </w:r>
          </w:p>
        </w:tc>
        <w:tc>
          <w:tcPr>
            <w:tcW w:type="pct" w:w="5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API REST + webhooks de confirmación de transacción; entorno sandbox con llaves de prueba; firma de webhook verificada con el secreto de la cuenta.</w:t>
            </w:r>
          </w:p>
        </w:tc>
      </w:tr>
      <w:tr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WhatsApp Business Cloud API (Meta)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OTP 2FA, recordatorios, Agente 2</w:t>
            </w:r>
          </w:p>
        </w:tc>
        <w:tc>
          <w:tcPr>
            <w:tcW w:type="pct" w:w="5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Webhooks entrantes (mensajes/estado) + API de envío de mensajes/plantillas/audio; verificación de token de webhook.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LiveKit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Transporte de voz en tiempo real (Agente 3)</w:t>
            </w:r>
          </w:p>
        </w:tc>
        <w:tc>
          <w:tcPr>
            <w:tcW w:type="pct" w:w="5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SDK de LiveKit Agents (server) + LiveKit Client (browser); tokens de sala de corta duración emitidos por el backend.</w:t>
            </w:r>
          </w:p>
        </w:tc>
      </w:tr>
      <w:tr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Deepgram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Speech-to-Text</w:t>
            </w:r>
          </w:p>
        </w:tc>
        <w:tc>
          <w:tcPr>
            <w:tcW w:type="pct" w:w="5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API de transcripción streaming (Agente 3) y por archivo (Agente 2, notas de voz de WhatsApp).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ElevenLabs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Text-to-Speech</w:t>
            </w:r>
          </w:p>
        </w:tc>
        <w:tc>
          <w:tcPr>
            <w:tcW w:type="pct" w:w="5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API de síntesis de voz streaming (Agente 3) y por archivo (Agente 2).</w:t>
            </w:r>
          </w:p>
        </w:tc>
      </w:tr>
      <w:tr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Claude (Anthropic) + Vercel AI SDK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Orquestación y razonamiento de los Agentes 2 y 3</w:t>
            </w:r>
          </w:p>
        </w:tc>
        <w:tc>
          <w:tcPr>
            <w:tcW w:type="pct" w:w="5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Tool calling tipado; definiciones de tools compartidas entre agentes cuando aplica (p. ej. check-availability).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Supabase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Persistencia, Auth, Storage, Realtime</w:t>
            </w:r>
          </w:p>
        </w:tc>
        <w:tc>
          <w:tcPr>
            <w:tcW w:type="pct" w:w="5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 Postgres vía Prisma (backend) para transacciones; cliente Supabase JS (frontend) solo para sesión/Realtime, nunca para escribir datos transaccionales directamente.</w:t>
            </w:r>
          </w:p>
        </w:tc>
      </w:tr>
      <w:tr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Google OAuth 2.0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Login social</w:t>
            </w:r>
          </w:p>
        </w:tc>
        <w:tc>
          <w:tcPr>
            <w:tcW w:type="pct" w:w="5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Flujo OAuth estándar gestionado por Supabase Auth.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6. Estrategia de Pruebas (resumen técnico)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Pruebas unitarias: </w:t>
      </w:r>
      <w:r>
        <w:rPr>
          <w:rFonts w:ascii="Inter" w:cs="Inter" w:eastAsia="Inter" w:hAnsi="Inter"/>
          <w:sz w:val="21"/>
          <w:szCs w:val="21"/>
        </w:rPr>
        <w:t xml:space="preserve">Domain y Application layers con cobertura objetivo ≥ 80% en reglas de negocio críticas (cálculo de mora, garantía, cotización).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Pruebas de integración: </w:t>
      </w:r>
      <w:r>
        <w:rPr>
          <w:rFonts w:ascii="Inter" w:cs="Inter" w:eastAsia="Inter" w:hAnsi="Inter"/>
          <w:sz w:val="21"/>
          <w:szCs w:val="21"/>
        </w:rPr>
        <w:t xml:space="preserve">Contra una instancia de Supabase de pruebas y mocks de Wompi/WhatsApp/LiveKit/Deepgram/ElevenLabs.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Pruebas end-to-end: </w:t>
      </w:r>
      <w:r>
        <w:rPr>
          <w:rFonts w:ascii="Inter" w:cs="Inter" w:eastAsia="Inter" w:hAnsi="Inter"/>
          <w:sz w:val="21"/>
          <w:szCs w:val="21"/>
        </w:rPr>
        <w:t xml:space="preserve">Flujos críticos de negocio (alquiler completo, devolución con daño, extensión vía Agente 2) automatizados sobre un entorno de staging.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Pruebas de los agentes de IA: </w:t>
      </w:r>
      <w:r>
        <w:rPr>
          <w:rFonts w:ascii="Inter" w:cs="Inter" w:eastAsia="Inter" w:hAnsi="Inter"/>
          <w:sz w:val="21"/>
          <w:szCs w:val="21"/>
        </w:rPr>
        <w:t xml:space="preserve">Conjunto de conversaciones de referencia (golden set) con aserciones sobre qué tool se invoca y con qué parámetros, no solo sobre el texto de respuesta.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detalle completo de plan de pruebas (matriz de casos, entornos, criterios de salida) se desarrolla como documento complementario si el equipo lo requiere; no forma parte de los 7 documentos solicitados en este paquete.</w:t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7. Requerimientos de Despliegue y CI/CD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Repositorio único (monorepo) con workspaces separados por app (shell, portal-cliente, panel-admin, pwa-logistica, api).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Pipeline de CI (GitHub Actions u equivalente): lint + tests unitarios en cada pull request; build + deploy automático a Vercel (frontend) y Railway (backend) en cada merge a main.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Variables de entorno y credenciales (Wompi, WhatsApp, LiveKit, Deepgram, ElevenLabs, Supabase, Claude) gestionadas como secretos en Vercel/Railway, nunca en el repositorio.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Entornos: desarrollo (local), staging (validación funcional y de agentes), producción.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2A9AF" w:sz="4" w:space="4"/>
      </w:pBdr>
      <w:jc w:val="center"/>
    </w:pPr>
    <w:r>
      <w:rPr>
        <w:rFonts w:ascii="Inter" w:cs="Inter" w:eastAsia="Inter" w:hAnsi="Inter"/>
        <w:color w:val="5C6470"/>
        <w:sz w:val="16"/>
        <w:szCs w:val="16"/>
      </w:rPr>
      <w:t xml:space="preserve">ToolBox JL · TRD — ToolBox JL · Confidencial  |  Página </w:t>
    </w:r>
    <w:r>
      <w:rPr>
        <w:rFonts w:ascii="Inter" w:cs="Inter" w:eastAsia="Inter" w:hAnsi="Inter"/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5C6470"/>
        <w:sz w:val="16"/>
        <w:szCs w:val="16"/>
      </w:rPr>
      <w:t xml:space="preserve"> de </w:t>
    </w:r>
    <w:r>
      <w:rPr>
        <w:rFonts w:ascii="Inter" w:cs="Inter" w:eastAsia="Inter" w:hAnsi="Inter"/>
        <w:color w:val="5C64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2A9AF" w:sz="4" w:space="4"/>
      </w:pBdr>
      <w:tabs>
        <w:tab w:val="right" w:pos="9360"/>
      </w:tabs>
    </w:pPr>
    <w:r>
      <w:rPr>
        <w:rFonts w:ascii="Montserrat" w:cs="Montserrat" w:eastAsia="Montserrat" w:hAnsi="Montserrat"/>
        <w:b/>
        <w:bCs/>
        <w:i/>
        <w:iCs/>
        <w:color w:val="141CDB"/>
        <w:sz w:val="16"/>
        <w:szCs w:val="16"/>
      </w:rPr>
      <w:t xml:space="preserve">TOOLBOX JL</w:t>
    </w:r>
    <w:r>
      <w:rPr>
        <w:rFonts w:ascii="Inter" w:cs="Inter" w:eastAsia="Inter" w:hAnsi="Inter"/>
        <w:color w:val="5C6470"/>
        <w:sz w:val="16"/>
        <w:szCs w:val="16"/>
      </w:rPr>
      <w:t xml:space="preserve">	TRD — ToolBox JL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TRD — ToolBox JL</dc:title>
  <dc:creator>Equipo de Arquitectura de Soluciones</dc:creator>
  <cp:lastModifiedBy>Un-named</cp:lastModifiedBy>
  <cp:revision>1</cp:revision>
  <dcterms:created xsi:type="dcterms:W3CDTF">2026-08-21T21:40:17.825Z</dcterms:created>
  <dcterms:modified xsi:type="dcterms:W3CDTF">2026-08-21T21:40:17.825Z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