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left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44"/>
          <w:szCs w:val="44"/>
        </w:rPr>
        <w:t xml:space="preserve">TOOLBOX JL</w:t>
      </w:r>
    </w:p>
    <w:p>
      <w:pPr>
        <w:spacing w:after="600"/>
      </w:pPr>
      <w:r>
        <w:rPr>
          <w:rFonts w:ascii="Montserrat" w:cs="Montserrat" w:eastAsia="Montserrat" w:hAnsi="Montserrat"/>
          <w:b/>
          <w:bCs/>
          <w:color w:val="E70012"/>
          <w:sz w:val="20"/>
          <w:szCs w:val="20"/>
        </w:rPr>
        <w:t xml:space="preserve">POTENCIA SIN PAUSAS</w:t>
      </w:r>
    </w:p>
    <w:p>
      <w:pPr>
        <w:spacing w:after="100" w:before="800"/>
      </w:pPr>
      <w:r>
        <w:rPr>
          <w:rFonts w:ascii="Montserrat" w:cs="Montserrat" w:eastAsia="Montserrat" w:hAnsi="Montserrat"/>
          <w:b/>
          <w:bCs/>
          <w:color w:val="E70012"/>
          <w:sz w:val="24"/>
          <w:szCs w:val="24"/>
        </w:rPr>
        <w:t xml:space="preserve">DOC-UX-01</w:t>
      </w:r>
    </w:p>
    <w:p>
      <w:pPr>
        <w:spacing w:after="200"/>
      </w:pPr>
      <w:r>
        <w:rPr>
          <w:rFonts w:ascii="Montserrat" w:cs="Montserrat" w:eastAsia="Montserrat" w:hAnsi="Montserrat"/>
          <w:b/>
          <w:bCs/>
          <w:i/>
          <w:iCs/>
          <w:color w:val="0B0E3D"/>
          <w:sz w:val="40"/>
          <w:szCs w:val="40"/>
        </w:rPr>
        <w:t xml:space="preserve">Especificación de Diseño UI/UX</w:t>
      </w:r>
    </w:p>
    <w:p>
      <w:pPr>
        <w:spacing w:after="500"/>
      </w:pPr>
      <w:r>
        <w:rPr>
          <w:rFonts w:ascii="Inter" w:cs="Inter" w:eastAsia="Inter" w:hAnsi="Inter"/>
          <w:color w:val="5C6470"/>
          <w:sz w:val="24"/>
          <w:szCs w:val="24"/>
        </w:rPr>
        <w:t xml:space="preserve">Plataforma ToolBox JL — insumo funcional para el diseño visual en Stitch</w:t>
      </w:r>
    </w:p>
    <w:p>
      <w:pPr>
        <w:spacing w:after="40" w:before="1600"/>
      </w:pPr>
      <w:r>
        <w:rPr>
          <w:rFonts w:ascii="Inter" w:cs="Inter" w:eastAsia="Inter" w:hAnsi="Inter"/>
          <w:sz w:val="20"/>
          <w:szCs w:val="20"/>
        </w:rPr>
        <w:t xml:space="preserve">Proyecto: Sistema de Gestión, Alquiler, Venta de Herramientas y Logística Inteligente</w:t>
      </w:r>
    </w:p>
    <w:p>
      <w:pPr>
        <w:spacing w:after="40"/>
      </w:pPr>
      <w:r>
        <w:rPr>
          <w:rFonts w:ascii="Inter" w:cs="Inter" w:eastAsia="Inter" w:hAnsi="Inter"/>
          <w:sz w:val="20"/>
          <w:szCs w:val="20"/>
        </w:rPr>
        <w:t xml:space="preserve">Cliente: ToolBox JL S.A.S.</w:t>
      </w:r>
    </w:p>
    <w:p>
      <w:pPr>
        <w:spacing w:after="40"/>
      </w:pPr>
      <w:r>
        <w:rPr>
          <w:rFonts w:ascii="Inter" w:cs="Inter" w:eastAsia="Inter" w:hAnsi="Inter"/>
          <w:sz w:val="20"/>
          <w:szCs w:val="20"/>
        </w:rPr>
        <w:t xml:space="preserve">Versión del documento: 1.0</w:t>
      </w:r>
    </w:p>
    <w:p>
      <w:pPr>
        <w:spacing w:after="40"/>
      </w:pPr>
      <w:r>
        <w:rPr>
          <w:rFonts w:ascii="Inter" w:cs="Inter" w:eastAsia="Inter" w:hAnsi="Inter"/>
          <w:sz w:val="20"/>
          <w:szCs w:val="20"/>
        </w:rPr>
        <w:t xml:space="preserve">Fecha: 21 de agosto de 2026</w:t>
      </w:r>
    </w:p>
    <w:p>
      <w:pPr>
        <w:spacing w:after="40"/>
      </w:pPr>
      <w:r>
        <w:rPr>
          <w:rFonts w:ascii="Inter" w:cs="Inter" w:eastAsia="Inter" w:hAnsi="Inter"/>
          <w:sz w:val="20"/>
          <w:szCs w:val="20"/>
        </w:rPr>
        <w:t xml:space="preserve">Elaborado por: Equipo de Arquitectura de Soluciones</w:t>
      </w:r>
    </w:p>
    <w:p>
      <w:r>
        <w:br w:type="page"/>
      </w:r>
    </w:p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1. Propósito de este Documento</w:t>
      </w:r>
    </w:p>
    <w:p>
      <w:pPr>
        <w:spacing w:after="1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Este documento especifica la experiencia (UX) de la plataforma ToolBox JL a nivel de estructura, flujo, contenido y comportamiento — sin fijar todavía el acabado visual final. Su función es alimentar la construcción del diseño visual en Stitch (herramienta con la que el equipo trabajará el system design en paralelo y que luego se conectará a este proyecto por MCP). Cada sección está redactada para poder copiarse o referenciarse directamente como contexto/prompt de diseño en Stitch.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none" w:color="FFFFFF" w:sz="0"/>
              <w:left w:val="single" w:color="141CDB" w:sz="24"/>
              <w:bottom w:val="none" w:color="FFFFFF" w:sz="0"/>
              <w:right w:val="none" w:color="FFFFFF" w:sz="0"/>
            </w:tcBorders>
            <w:shd w:fill="F2F3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141CDB"/>
                <w:sz w:val="20"/>
                <w:szCs w:val="20"/>
              </w:rPr>
              <w:t xml:space="preserve">Cómo usar este documento en Stitch</w:t>
            </w:r>
          </w:p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Al iniciar cada pantalla en Stitch, referencia: (1) los Design Tokens de la sección 3 para que la paleta y tipografía coincidan con la marca ToolBox JL desde el primer intento; (2) el wireframe y la tabla de componentes de la pantalla correspondiente en la sección 5; (3) los estados de componentes de la sección 6 para que Stitch genere también los estados hover/disabled/loading, no solo el estado por defecto.</w:t>
            </w:r>
          </w:p>
        </w:tc>
      </w:tr>
    </w:tbl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2. Principios de Diseño</w:t>
      </w:r>
    </w:p>
    <w:p>
      <w:pPr>
        <w:spacing w:after="1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Estos principios traducen la dirección de arte del Manual de Marca (inspirada en automovilismo de alto rendimiento) a decisiones de interfaz: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b/>
          <w:bCs/>
          <w:color w:val="0B0E3D"/>
          <w:sz w:val="21"/>
          <w:szCs w:val="21"/>
        </w:rPr>
        <w:t xml:space="preserve">Alto contraste y confianza industrial: </w:t>
      </w:r>
      <w:r>
        <w:rPr>
          <w:rFonts w:ascii="Inter" w:cs="Inter" w:eastAsia="Inter" w:hAnsi="Inter"/>
          <w:sz w:val="21"/>
          <w:szCs w:val="21"/>
        </w:rPr>
        <w:t xml:space="preserve">Fondos oscuros (Azul Metálico) para secciones institucionales, combinados con blanco limpio para lectura; nunca degradados suaves que contradigan la estética "industrial/racing".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b/>
          <w:bCs/>
          <w:color w:val="0B0E3D"/>
          <w:sz w:val="21"/>
          <w:szCs w:val="21"/>
        </w:rPr>
        <w:t xml:space="preserve">El rojo es acción, no decoración: </w:t>
      </w:r>
      <w:r>
        <w:rPr>
          <w:rFonts w:ascii="Inter" w:cs="Inter" w:eastAsia="Inter" w:hAnsi="Inter"/>
          <w:sz w:val="21"/>
          <w:szCs w:val="21"/>
        </w:rPr>
        <w:t xml:space="preserve">Rojo Velocidad (#E70012) se reserva estrictamente para CTAs primarios ("Alquilar ahora", "Agregar al carrito", "Confirmar pago"), badges de advertencia y precios — nunca como color de fondo extenso.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b/>
          <w:bCs/>
          <w:color w:val="0B0E3D"/>
          <w:sz w:val="21"/>
          <w:szCs w:val="21"/>
        </w:rPr>
        <w:t xml:space="preserve">Fotografía con textura real: </w:t>
      </w:r>
      <w:r>
        <w:rPr>
          <w:rFonts w:ascii="Inter" w:cs="Inter" w:eastAsia="Inter" w:hAnsi="Inter"/>
          <w:sz w:val="21"/>
          <w:szCs w:val="21"/>
        </w:rPr>
        <w:t xml:space="preserve">Imágenes de producto sobre fondos de madera aserrada, concreto o metal industrial, con iluminación de alto contraste — evitar fondos blancos de e-commerce genérico.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b/>
          <w:bCs/>
          <w:color w:val="0B0E3D"/>
          <w:sz w:val="21"/>
          <w:szCs w:val="21"/>
        </w:rPr>
        <w:t xml:space="preserve">Movimiento con propósito: </w:t>
      </w:r>
      <w:r>
        <w:rPr>
          <w:rFonts w:ascii="Inter" w:cs="Inter" w:eastAsia="Inter" w:hAnsi="Inter"/>
          <w:sz w:val="21"/>
          <w:szCs w:val="21"/>
        </w:rPr>
        <w:t xml:space="preserve">Micro-animaciones sutiles (aceleración/desaceleración tipo "racing") en transiciones de CTA y en el widget de voz al escuchar/responder — nunca decorativas sin función.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b/>
          <w:bCs/>
          <w:color w:val="0B0E3D"/>
          <w:sz w:val="21"/>
          <w:szCs w:val="21"/>
        </w:rPr>
        <w:t xml:space="preserve">Densidad operativa en PWA de campo: </w:t>
      </w:r>
      <w:r>
        <w:rPr>
          <w:rFonts w:ascii="Inter" w:cs="Inter" w:eastAsia="Inter" w:hAnsi="Inter"/>
          <w:sz w:val="21"/>
          <w:szCs w:val="21"/>
        </w:rPr>
        <w:t xml:space="preserve">Las pantallas de Almacenista/Repartidor priorizan objetivos táctiles grandes y alto contraste sobre estética, porque se usan al aire libre y potencialmente con guantes de trabajo.</w:t>
      </w:r>
    </w:p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3. Design Tokens</w:t>
      </w:r>
    </w:p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0B0E3D"/>
          <w:sz w:val="21"/>
          <w:szCs w:val="21"/>
        </w:rPr>
        <w:t xml:space="preserve">3.1 Color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400"/>
      </w:tblGrid>
      <w:tr>
        <w:trPr>
          <w:tblHeader/>
        </w:trPr>
        <w:tc>
          <w:tcPr>
            <w:tcW w:type="pct" w:w="2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pct" w:w="16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pct" w:w="6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color/brand/blue (Azul Metálico)</w:t>
            </w:r>
          </w:p>
        </w:tc>
        <w:tc>
          <w:tcPr>
            <w:tcW w:type="pct" w:w="1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#141CDB</w:t>
            </w:r>
          </w:p>
        </w:tc>
        <w:tc>
          <w:tcPr>
            <w:tcW w:type="pct" w:w="6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Color institucional principal: headers, navegación, fondos de sección, botones secundarios.</w:t>
            </w:r>
          </w:p>
        </w:tc>
      </w:tr>
      <w:tr>
        <w:tc>
          <w:tcPr>
            <w:tcW w:type="pct" w:w="2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color/brand/red (Rojo Velocidad)</w:t>
            </w:r>
          </w:p>
        </w:tc>
        <w:tc>
          <w:tcPr>
            <w:tcW w:type="pct" w:w="1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#E70012</w:t>
            </w:r>
          </w:p>
        </w:tc>
        <w:tc>
          <w:tcPr>
            <w:tcW w:type="pct" w:w="6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Acento de acción: CTAs primarios, badges de advertencia/mora, precios destacados.</w:t>
            </w:r>
          </w:p>
        </w:tc>
      </w:tr>
      <w:tr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color/neutral/white (Blanco Nieve)</w:t>
            </w:r>
          </w:p>
        </w:tc>
        <w:tc>
          <w:tcPr>
            <w:tcW w:type="pct" w:w="1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#FFFFFF</w:t>
            </w:r>
          </w:p>
        </w:tc>
        <w:tc>
          <w:tcPr>
            <w:tcW w:type="pct" w:w="6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Fondos de lectura, texto sobre fondo oscuro.</w:t>
            </w:r>
          </w:p>
        </w:tc>
      </w:tr>
      <w:tr>
        <w:tc>
          <w:tcPr>
            <w:tcW w:type="pct" w:w="2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color/neutral/silver (Plata Fibra)</w:t>
            </w:r>
          </w:p>
        </w:tc>
        <w:tc>
          <w:tcPr>
            <w:tcW w:type="pct" w:w="1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#A2A9AF</w:t>
            </w:r>
          </w:p>
        </w:tc>
        <w:tc>
          <w:tcPr>
            <w:tcW w:type="pct" w:w="6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Soporte: bordes, texto secundario, fichas técnicas.</w:t>
            </w:r>
          </w:p>
        </w:tc>
      </w:tr>
      <w:tr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color/status/success</w:t>
            </w:r>
          </w:p>
        </w:tc>
        <w:tc>
          <w:tcPr>
            <w:tcW w:type="pct" w:w="1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#1E9E5A</w:t>
            </w:r>
          </w:p>
        </w:tc>
        <w:tc>
          <w:tcPr>
            <w:tcW w:type="pct" w:w="6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Estado de unidad "Excelente/Operativo", confirmaciones.</w:t>
            </w:r>
          </w:p>
        </w:tc>
      </w:tr>
      <w:tr>
        <w:tc>
          <w:tcPr>
            <w:tcW w:type="pct" w:w="2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color/status/warning</w:t>
            </w:r>
          </w:p>
        </w:tc>
        <w:tc>
          <w:tcPr>
            <w:tcW w:type="pct" w:w="1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#E0A400</w:t>
            </w:r>
          </w:p>
        </w:tc>
        <w:tc>
          <w:tcPr>
            <w:tcW w:type="pct" w:w="6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Estado "En Mantenimiento", alertas no críticas.</w:t>
            </w:r>
          </w:p>
        </w:tc>
      </w:tr>
      <w:tr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color/status/danger</w:t>
            </w:r>
          </w:p>
        </w:tc>
        <w:tc>
          <w:tcPr>
            <w:tcW w:type="pct" w:w="1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#E70012</w:t>
            </w:r>
          </w:p>
        </w:tc>
        <w:tc>
          <w:tcPr>
            <w:tcW w:type="pct" w:w="6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Estado "Dado de Baja", mora, error de pago (reutiliza Rojo Velocidad).</w:t>
            </w:r>
          </w:p>
        </w:tc>
      </w:tr>
    </w:tbl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0B0E3D"/>
          <w:sz w:val="21"/>
          <w:szCs w:val="21"/>
        </w:rPr>
        <w:t xml:space="preserve">3.2 Tipografía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600"/>
      </w:tblGrid>
      <w:tr>
        <w:trPr>
          <w:tblHeader/>
        </w:trPr>
        <w:tc>
          <w:tcPr>
            <w:tcW w:type="pct" w:w="3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pct" w:w="3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pct" w:w="4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font/display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Montserrat Black Italic</w:t>
            </w:r>
          </w:p>
        </w:tc>
        <w:tc>
          <w:tcPr>
            <w:tcW w:type="pct" w:w="4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Titulares de marca, hero, nombres de sección — siempre en cursiva bold, según Manual de Marca.</w:t>
            </w:r>
          </w:p>
        </w:tc>
      </w:tr>
      <w:tr>
        <w:tc>
          <w:tcPr>
            <w:tcW w:type="pct" w:w="3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font/heading</w:t>
            </w:r>
          </w:p>
        </w:tc>
        <w:tc>
          <w:tcPr>
            <w:tcW w:type="pct" w:w="3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Montserrat Bold</w:t>
            </w:r>
          </w:p>
        </w:tc>
        <w:tc>
          <w:tcPr>
            <w:tcW w:type="pct" w:w="4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Encabezados de pantalla y de tarjeta (sin itálica, para no fatigar en bloques largos).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font/body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Inter Regular</w:t>
            </w:r>
          </w:p>
        </w:tc>
        <w:tc>
          <w:tcPr>
            <w:tcW w:type="pct" w:w="4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Cuerpo de texto, formularios, tablas, fichas técnicas — óptima legibilidad en interfaz.</w:t>
            </w:r>
          </w:p>
        </w:tc>
      </w:tr>
      <w:tr>
        <w:tc>
          <w:tcPr>
            <w:tcW w:type="pct" w:w="3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font/mono (opcional)</w:t>
            </w:r>
          </w:p>
        </w:tc>
        <w:tc>
          <w:tcPr>
            <w:tcW w:type="pct" w:w="3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Inter o mono del sistema</w:t>
            </w:r>
          </w:p>
        </w:tc>
        <w:tc>
          <w:tcPr>
            <w:tcW w:type="pct" w:w="4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Códigos QR/SKU, números de serie.</w:t>
            </w:r>
          </w:p>
        </w:tc>
      </w:tr>
    </w:tbl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0B0E3D"/>
          <w:sz w:val="21"/>
          <w:szCs w:val="21"/>
        </w:rPr>
        <w:t xml:space="preserve">3.3 Espaciado, radios y elevación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b/>
          <w:bCs/>
          <w:color w:val="0B0E3D"/>
          <w:sz w:val="21"/>
          <w:szCs w:val="21"/>
        </w:rPr>
        <w:t xml:space="preserve">Escala de espaciado: </w:t>
      </w:r>
      <w:r>
        <w:rPr>
          <w:rFonts w:ascii="Inter" w:cs="Inter" w:eastAsia="Inter" w:hAnsi="Inter"/>
          <w:sz w:val="21"/>
          <w:szCs w:val="21"/>
        </w:rPr>
        <w:t xml:space="preserve">4 / 8 / 12 / 16 / 24 / 32 / 48 px (múltiplos de 4, estándar para densidad consistente entre Portal, Panel y PWA).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b/>
          <w:bCs/>
          <w:color w:val="0B0E3D"/>
          <w:sz w:val="21"/>
          <w:szCs w:val="21"/>
        </w:rPr>
        <w:t xml:space="preserve">Radios de borde: </w:t>
      </w:r>
      <w:r>
        <w:rPr>
          <w:rFonts w:ascii="Inter" w:cs="Inter" w:eastAsia="Inter" w:hAnsi="Inter"/>
          <w:sz w:val="21"/>
          <w:szCs w:val="21"/>
        </w:rPr>
        <w:t xml:space="preserve">8px en tarjetas y botones; 4px en badges/chips — nunca esquinas totalmente rectas (contradice la identidad angular pero "amigable" del isotipo).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b/>
          <w:bCs/>
          <w:color w:val="0B0E3D"/>
          <w:sz w:val="21"/>
          <w:szCs w:val="21"/>
        </w:rPr>
        <w:t xml:space="preserve">Elevación: </w:t>
      </w:r>
      <w:r>
        <w:rPr>
          <w:rFonts w:ascii="Inter" w:cs="Inter" w:eastAsia="Inter" w:hAnsi="Inter"/>
          <w:sz w:val="21"/>
          <w:szCs w:val="21"/>
        </w:rPr>
        <w:t xml:space="preserve">Sombra suave (0 2px 8px rgba(11,14,61,0.12)) para tarjetas flotantes; el widget de voz usa un halo de color en vez de sombra al estar activo.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b/>
          <w:bCs/>
          <w:color w:val="0B0E3D"/>
          <w:sz w:val="21"/>
          <w:szCs w:val="21"/>
        </w:rPr>
        <w:t xml:space="preserve">Objetivo táctil mínimo: </w:t>
      </w:r>
      <w:r>
        <w:rPr>
          <w:rFonts w:ascii="Inter" w:cs="Inter" w:eastAsia="Inter" w:hAnsi="Inter"/>
          <w:sz w:val="21"/>
          <w:szCs w:val="21"/>
        </w:rPr>
        <w:t xml:space="preserve">44×44px en Portal/Panel; 56×56px en PWA de Logística (uso en campo, posiblemente con guantes).</w:t>
      </w:r>
    </w:p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4. Inventario de Pantallas por 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980"/>
        <w:gridCol w:w="2700"/>
        <w:gridCol w:w="1980"/>
      </w:tblGrid>
      <w:tr>
        <w:trPr>
          <w:tblHeader/>
        </w:trPr>
        <w:tc>
          <w:tcPr>
            <w:tcW w:type="pct" w:w="26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pct" w:w="22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Rol(es)</w:t>
            </w:r>
          </w:p>
        </w:tc>
        <w:tc>
          <w:tcPr>
            <w:tcW w:type="pct" w:w="3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  <w:tc>
          <w:tcPr>
            <w:tcW w:type="pct" w:w="22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Componentes clave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Home / Catálogo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Cliente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Descubrir y filtrar herramientas disponibles para alquiler o venta.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Buscador, filtros, tarjeta de producto, widget conserje de voz</w:t>
            </w:r>
          </w:p>
        </w:tc>
      </w:tr>
      <w:tr>
        <w:tc>
          <w:tcPr>
            <w:tcW w:type="pct" w:w="2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Ficha de Producto</w:t>
            </w:r>
          </w:p>
        </w:tc>
        <w:tc>
          <w:tcPr>
            <w:tcW w:type="pct" w:w="22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Cliente</w:t>
            </w:r>
          </w:p>
        </w:tc>
        <w:tc>
          <w:tcPr>
            <w:tcW w:type="pct" w:w="3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Ver detalle, elegir fechas y modalidad (alquiler/venta), cotizar.</w:t>
            </w:r>
          </w:p>
        </w:tc>
        <w:tc>
          <w:tcPr>
            <w:tcW w:type="pct" w:w="22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Galería, selector de fechas, desglose de cotización, CTA alquilar/comprar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Carrito y Checkout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Cliente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Confirmar orden, elegir método de pago, ver depósito de garantía.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Resumen de orden, selector de pago (PSE/Tarjeta/COD), aviso de garantía</w:t>
            </w:r>
          </w:p>
        </w:tc>
      </w:tr>
      <w:tr>
        <w:tc>
          <w:tcPr>
            <w:tcW w:type="pct" w:w="2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Mis Órdenes</w:t>
            </w:r>
          </w:p>
        </w:tc>
        <w:tc>
          <w:tcPr>
            <w:tcW w:type="pct" w:w="22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Cliente</w:t>
            </w:r>
          </w:p>
        </w:tc>
        <w:tc>
          <w:tcPr>
            <w:tcW w:type="pct" w:w="3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Ver historial y estado de alquileres/compras activas.</w:t>
            </w:r>
          </w:p>
        </w:tc>
        <w:tc>
          <w:tcPr>
            <w:tcW w:type="pct" w:w="22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Lista de órdenes, badge de estado, acceso a extender alquiler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Widget Conserje de Voz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Cliente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Buscar y agregar al carrito por conversación de voz (Agente 3).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FAB, indicador de escucha/pensando/hablando, transcripción en vivo</w:t>
            </w:r>
          </w:p>
        </w:tc>
      </w:tr>
      <w:tr>
        <w:tc>
          <w:tcPr>
            <w:tcW w:type="pct" w:w="2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Dashboard KPIs</w:t>
            </w:r>
          </w:p>
        </w:tc>
        <w:tc>
          <w:tcPr>
            <w:tcW w:type="pct" w:w="22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Gerente/Director Operativo</w:t>
            </w:r>
          </w:p>
        </w:tc>
        <w:tc>
          <w:tcPr>
            <w:tcW w:type="pct" w:w="3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Visión de ingresos, ROI, utilización, productividad.</w:t>
            </w:r>
          </w:p>
        </w:tc>
        <w:tc>
          <w:tcPr>
            <w:tcW w:type="pct" w:w="22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Tarjetas KPI, gráficos de tendencia, filtro de periodo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Inventario y Catálogo (Admin)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Administrador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Gestionar modelos, unidades físicas, tarifas y parámetros.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Tabla de inventario, formulario de ficha técnica, generador de QR</w:t>
            </w:r>
          </w:p>
        </w:tc>
      </w:tr>
      <w:tr>
        <w:tc>
          <w:tcPr>
            <w:tcW w:type="pct" w:w="2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Panel de Seguimiento de Envíos</w:t>
            </w:r>
          </w:p>
        </w:tc>
        <w:tc>
          <w:tcPr>
            <w:tcW w:type="pct" w:w="22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Gerente, Administrador</w:t>
            </w:r>
          </w:p>
        </w:tc>
        <w:tc>
          <w:tcPr>
            <w:tcW w:type="pct" w:w="3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Ver en mapa el estado de cada pedido en curso.</w:t>
            </w:r>
          </w:p>
        </w:tc>
        <w:tc>
          <w:tcPr>
            <w:tcW w:type="pct" w:w="22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Mapa, lista de pedidos por estado, filtro por zona/repartidor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Ruta del Día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Repartidor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Ver ruta optimizada asignada por el Agente 1.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Lista de paradas ordenadas, mapa, estado por parada</w:t>
            </w:r>
          </w:p>
        </w:tc>
      </w:tr>
      <w:tr>
        <w:tc>
          <w:tcPr>
            <w:tcW w:type="pct" w:w="26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Escaneo QR e Inspección</w:t>
            </w:r>
          </w:p>
        </w:tc>
        <w:tc>
          <w:tcPr>
            <w:tcW w:type="pct" w:w="22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Almacenista, Repartidor</w:t>
            </w:r>
          </w:p>
        </w:tc>
        <w:tc>
          <w:tcPr>
            <w:tcW w:type="pct" w:w="3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Escanear unidad, ver ficha, ejecutar checklist de entrega/recepción.</w:t>
            </w:r>
          </w:p>
        </w:tc>
        <w:tc>
          <w:tcPr>
            <w:tcW w:type="pct" w:w="22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Visor de cámara, ficha de unidad, checklist, botones de acción</w:t>
            </w:r>
          </w:p>
        </w:tc>
      </w:tr>
      <w:tr>
        <w:tc>
          <w:tcPr>
            <w:tcW w:type="pct" w:w="2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Registro de Nueva Unidad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Almacenista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Dar de alta una unidad física y generar su QR.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Formulario, selector de modelo base, botón "Generar QR"</w:t>
            </w:r>
          </w:p>
        </w:tc>
      </w:tr>
    </w:tbl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5. Wireframes de Referencia</w:t>
      </w:r>
    </w:p>
    <w:p>
      <w:pPr>
        <w:spacing w:after="1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Los siguientes wireframes de baja fidelidad fijan la estructura de las dos pantallas de mayor complejidad de interacción (una por canal principal: Portal Cliente y PWA de Logística). El resto de pantallas del inventario (sección 4) sigue los mismos patrones de composición — reutilizar estos wireframes como referencia estructural al construirlas en Stitch.</w:t>
      </w:r>
    </w:p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0B0E3D"/>
          <w:sz w:val="21"/>
          <w:szCs w:val="21"/>
        </w:rPr>
        <w:t xml:space="preserve">5.1 Portal Cliente — Home / Catálogo</w:t>
      </w:r>
    </w:p>
    <w:p>
      <w:pPr>
        <w:spacing w:after="120" w:before="200"/>
        <w:jc w:val="center"/>
      </w:pPr>
      <w:r>
        <w:drawing>
          <wp:inline distT="0" distB="0" distL="0" distR="0">
            <wp:extent cx="24765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Inter" w:cs="Inter" w:eastAsia="Inter" w:hAnsi="Inter"/>
          <w:i/>
          <w:iCs/>
          <w:color w:val="5C6470"/>
          <w:sz w:val="18"/>
          <w:szCs w:val="18"/>
        </w:rPr>
        <w:t xml:space="preserve">Figura 1. Wireframe de baja fidelidad — Home/Catálogo, mobile-first.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sz w:val="21"/>
          <w:szCs w:val="21"/>
        </w:rPr>
        <w:t xml:space="preserve">El widget conserje de voz (Agente 3) es un FAB persistente, nunca bloquea el flujo de catálogo tradicional (principio de complemento opcional, ver PRD §7).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sz w:val="21"/>
          <w:szCs w:val="21"/>
        </w:rPr>
        <w:t xml:space="preserve">Las tarjetas de producto muestran badge de disponibilidad calculada por fecha, no solo "en stock/agotado" genérico.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sz w:val="21"/>
          <w:szCs w:val="21"/>
        </w:rPr>
        <w:t xml:space="preserve">Layout de 2 columnas en mobile, escalable a 3–4 columnas en tablet/desktop (ver §7 Responsive).</w:t>
      </w:r>
    </w:p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0B0E3D"/>
          <w:sz w:val="21"/>
          <w:szCs w:val="21"/>
        </w:rPr>
        <w:t xml:space="preserve">5.2 PWA Logística — Escaneo QR e Inspección</w:t>
      </w:r>
    </w:p>
    <w:p>
      <w:pPr>
        <w:spacing w:after="120" w:before="200"/>
        <w:jc w:val="center"/>
      </w:pPr>
      <w:r>
        <w:drawing>
          <wp:inline distT="0" distB="0" distL="0" distR="0">
            <wp:extent cx="2476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Inter" w:cs="Inter" w:eastAsia="Inter" w:hAnsi="Inter"/>
          <w:i/>
          <w:iCs/>
          <w:color w:val="5C6470"/>
          <w:sz w:val="18"/>
          <w:szCs w:val="18"/>
        </w:rPr>
        <w:t xml:space="preserve">Figura 2. Wireframe de baja fidelidad — Escaneo QR e Inspección.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sz w:val="21"/>
          <w:szCs w:val="21"/>
        </w:rPr>
        <w:t xml:space="preserve">El visor de cámara ocupa el mayor espacio posible en pantalla — es la acción primaria de esta vista.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sz w:val="21"/>
          <w:szCs w:val="21"/>
        </w:rPr>
        <w:t xml:space="preserve">"Ingresar código manualmente" es un fallback siempre visible, no escondido en un menú (zonas con mala luz o QR dañado son un caso real de campo).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sz w:val="21"/>
          <w:szCs w:val="21"/>
        </w:rPr>
        <w:t xml:space="preserve">El indicador de sincronización offline-first es persistente y visible en todo momento (RNF-7 del TRD): el usuario debe saber si su inspección ya se guardó en el servidor.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sz w:val="21"/>
          <w:szCs w:val="21"/>
        </w:rPr>
        <w:t xml:space="preserve">Botón "Marcar Entregado" en Rojo Velocidad (acción primaria); "Reportar Daño" en contorno rojo sobre blanco (acción secundaria, misma familia semántica pero menor peso visual).</w:t>
      </w:r>
    </w:p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6. Estados de Componentes Clave</w:t>
      </w:r>
    </w:p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0B0E3D"/>
          <w:sz w:val="21"/>
          <w:szCs w:val="21"/>
        </w:rPr>
        <w:t xml:space="preserve">6.1 Badge de estado de unidad (hoja de vida)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4500"/>
      </w:tblGrid>
      <w:tr>
        <w:trPr>
          <w:tblHeader/>
        </w:trPr>
        <w:tc>
          <w:tcPr>
            <w:tcW w:type="pct" w:w="25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pct" w:w="25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Color de badge</w:t>
            </w:r>
          </w:p>
        </w:tc>
        <w:tc>
          <w:tcPr>
            <w:tcW w:type="pct" w:w="5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Nuevo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Azul Metálico sobre blanco</w:t>
            </w:r>
          </w:p>
        </w:tc>
        <w:tc>
          <w:tcPr>
            <w:tcW w:type="pct" w:w="5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Unidad recién ingresada, sin uso previo.</w:t>
            </w:r>
          </w:p>
        </w:tc>
      </w:tr>
      <w:tr>
        <w:tc>
          <w:tcPr>
            <w:tcW w:type="pct" w:w="25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Excelente / Operativo</w:t>
            </w:r>
          </w:p>
        </w:tc>
        <w:tc>
          <w:tcPr>
            <w:tcW w:type="pct" w:w="25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Verde éxito (#1E9E5A)</w:t>
            </w:r>
          </w:p>
        </w:tc>
        <w:tc>
          <w:tcPr>
            <w:tcW w:type="pct" w:w="5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Disponible para alquiler/venta sin restricciones.</w:t>
            </w:r>
          </w:p>
        </w:tc>
      </w:tr>
      <w:tr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En Mantenimiento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Ámbar advertencia (#E0A400)</w:t>
            </w:r>
          </w:p>
        </w:tc>
        <w:tc>
          <w:tcPr>
            <w:tcW w:type="pct" w:w="5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No disponible temporalmente; visible en catálogo interno, oculto en Portal Cliente.</w:t>
            </w:r>
          </w:p>
        </w:tc>
      </w:tr>
      <w:tr>
        <w:tc>
          <w:tcPr>
            <w:tcW w:type="pct" w:w="25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Dado de Baja</w:t>
            </w:r>
          </w:p>
        </w:tc>
        <w:tc>
          <w:tcPr>
            <w:tcW w:type="pct" w:w="25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Rojo Velocidad, texto tachado</w:t>
            </w:r>
          </w:p>
        </w:tc>
        <w:tc>
          <w:tcPr>
            <w:tcW w:type="pct" w:w="5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Fuera de operación; solo visible en historial/auditoría.</w:t>
            </w:r>
          </w:p>
        </w:tc>
      </w:tr>
    </w:tbl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0B0E3D"/>
          <w:sz w:val="21"/>
          <w:szCs w:val="21"/>
        </w:rPr>
        <w:t xml:space="preserve">6.2 Botón primario (CTA)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pct" w:w="2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pct" w:w="8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Tratamiento visual</w:t>
            </w:r>
          </w:p>
        </w:tc>
      </w:tr>
      <w:tr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Default</w:t>
            </w:r>
          </w:p>
        </w:tc>
        <w:tc>
          <w:tcPr>
            <w:tcW w:type="pct" w:w="8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Fondo Rojo Velocidad, texto blanco, radio 8px.</w:t>
            </w:r>
          </w:p>
        </w:tc>
      </w:tr>
      <w:tr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Hover / Focus</w:t>
            </w:r>
          </w:p>
        </w:tc>
        <w:tc>
          <w:tcPr>
            <w:tcW w:type="pct" w:w="8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Oscurecer fondo 8%, anillo de foco visible en Azul Metálico para accesibilidad de teclado.</w:t>
            </w:r>
          </w:p>
        </w:tc>
      </w:tr>
      <w:tr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Disabled</w:t>
            </w:r>
          </w:p>
        </w:tc>
        <w:tc>
          <w:tcPr>
            <w:tcW w:type="pct" w:w="8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Fondo Plata Fibra al 40% de opacidad, texto gris, cursor not-allowed.</w:t>
            </w:r>
          </w:p>
        </w:tc>
      </w:tr>
      <w:tr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Loading</w:t>
            </w:r>
          </w:p>
        </w:tc>
        <w:tc>
          <w:tcPr>
            <w:tcW w:type="pct" w:w="8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Spinner inline reemplaza el texto; el botón mantiene su ancho para evitar salto de layout.</w:t>
            </w:r>
          </w:p>
        </w:tc>
      </w:tr>
    </w:tbl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0B0E3D"/>
          <w:sz w:val="21"/>
          <w:szCs w:val="21"/>
        </w:rPr>
        <w:t xml:space="preserve">6.3 Widget Conserje de Voz (Agente 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pct" w:w="2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pct" w:w="80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Tratamiento visual</w:t>
            </w:r>
          </w:p>
        </w:tc>
      </w:tr>
      <w:tr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Idle</w:t>
            </w:r>
          </w:p>
        </w:tc>
        <w:tc>
          <w:tcPr>
            <w:tcW w:type="pct" w:w="8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FAB circular Rojo Velocidad con ícono de micrófono, sin animación.</w:t>
            </w:r>
          </w:p>
        </w:tc>
      </w:tr>
      <w:tr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Escuchando</w:t>
            </w:r>
          </w:p>
        </w:tc>
        <w:tc>
          <w:tcPr>
            <w:tcW w:type="pct" w:w="8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Halo pulsante en Azul Metálico alrededor del FAB, sincronizado con la amplitud de voz del usuario.</w:t>
            </w:r>
          </w:p>
        </w:tc>
      </w:tr>
      <w:tr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Pensando</w:t>
            </w:r>
          </w:p>
        </w:tc>
        <w:tc>
          <w:tcPr>
            <w:tcW w:type="pct" w:w="8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Halo estático + tres puntos animados ("...") — este estado debe ser breve dado el objetivo de latencia &lt; 2.5 s del TRD.</w:t>
            </w:r>
          </w:p>
        </w:tc>
      </w:tr>
      <w:tr>
        <w:tc>
          <w:tcPr>
            <w:tcW w:type="pct" w:w="2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Hablando</w:t>
            </w:r>
          </w:p>
        </w:tc>
        <w:tc>
          <w:tcPr>
            <w:tcW w:type="pct" w:w="80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Halo pulsante en Rojo Velocidad; se muestra transcripción en vivo de la respuesta debajo del FAB para accesibilidad (usuarios sordos/con hipoacusia).</w:t>
            </w:r>
          </w:p>
        </w:tc>
      </w:tr>
      <w:tr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Error / Sin conexión</w:t>
            </w:r>
          </w:p>
        </w:tc>
        <w:tc>
          <w:tcPr>
            <w:tcW w:type="pct" w:w="8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FAB en gris Plata Fibra con ícono de micrófono tachado; tooltip explicando que el conserje no está disponible y sugiriendo el catálogo tradicional.</w:t>
            </w:r>
          </w:p>
        </w:tc>
      </w:tr>
    </w:tbl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7. Responsive y Breakpoints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2160"/>
        <w:gridCol w:w="4860"/>
      </w:tblGrid>
      <w:tr>
        <w:trPr>
          <w:tblHeader/>
        </w:trPr>
        <w:tc>
          <w:tcPr>
            <w:tcW w:type="pct" w:w="22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Breakpoint</w:t>
            </w:r>
          </w:p>
        </w:tc>
        <w:tc>
          <w:tcPr>
            <w:tcW w:type="pct" w:w="2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Rango</w:t>
            </w:r>
          </w:p>
        </w:tc>
        <w:tc>
          <w:tcPr>
            <w:tcW w:type="pct" w:w="54%"/>
            <w:shd w:fill="141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Comportamiento</w:t>
            </w:r>
          </w:p>
        </w:tc>
      </w:tr>
      <w:tr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Mobile</w:t>
            </w:r>
          </w:p>
        </w:tc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&lt; 640px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1 columna de contenido; navegación inferior fija (Portal Cliente); PWA de Logística diseñada mobile-first ya que es su único contexto real de uso.</w:t>
            </w:r>
          </w:p>
        </w:tc>
      </w:tr>
      <w:tr>
        <w:tc>
          <w:tcPr>
            <w:tcW w:type="pct" w:w="22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Tablet</w:t>
            </w:r>
          </w:p>
        </w:tc>
        <w:tc>
          <w:tcPr>
            <w:tcW w:type="pct" w:w="2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640–1024px</w:t>
            </w:r>
          </w:p>
        </w:tc>
        <w:tc>
          <w:tcPr>
            <w:tcW w:type="pct" w:w="54%"/>
            <w:shd w:fill="F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2–3 columnas en catálogo; paneles Admin/Gerente muestran navegación lateral colapsable.</w:t>
            </w:r>
          </w:p>
        </w:tc>
      </w:tr>
      <w:tr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Desktop</w:t>
            </w:r>
          </w:p>
        </w:tc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&gt; 1024px</w:t>
            </w:r>
          </w:p>
        </w:tc>
        <w:tc>
          <w:tcPr>
            <w:tcW w:type="pct" w:w="5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3–4 columnas en catálogo; paneles Admin/Gerente con navegación lateral fija y layout de dashboard con múltiples tarjetas por fila.</w:t>
            </w:r>
          </w:p>
        </w:tc>
      </w:tr>
    </w:tbl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8. Accesibilidad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sz w:val="21"/>
          <w:szCs w:val="21"/>
        </w:rPr>
        <w:t xml:space="preserve">Contraste mínimo AA (4.5:1) en todo texto sobre Azul Metálico o Rojo Velocidad — validar especialmente el texto blanco sobre Rojo Velocidad, que es el par de mayor riesgo de la paleta.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sz w:val="21"/>
          <w:szCs w:val="21"/>
        </w:rPr>
        <w:t xml:space="preserve">Toda acción disponible por voz (Agentes 2 y 3) debe tener un equivalente accionable por texto/click, nunca voz como único camino.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sz w:val="21"/>
          <w:szCs w:val="21"/>
        </w:rPr>
        <w:t xml:space="preserve">Objetivos táctiles ampliados en PWA de Logística (56×56px) considerando uso en campo, con guantes o bajo lluvia.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Inter" w:cs="Inter" w:eastAsia="Inter" w:hAnsi="Inter"/>
          <w:sz w:val="21"/>
          <w:szCs w:val="21"/>
        </w:rPr>
        <w:t xml:space="preserve">Estados de foco de teclado visibles en todos los componentes interactivos del Portal y los Paneles (no solo la PWA táctil).</w:t>
      </w:r>
    </w:p>
    <w:p>
      <w:pPr>
        <w:pStyle w:val="Heading1"/>
        <w:pBdr>
          <w:bottom w:val="single" w:color="E70012" w:sz="12" w:space="4"/>
        </w:pBdr>
        <w:spacing w:after="200" w:before="360"/>
      </w:pPr>
      <w:r>
        <w:rPr>
          <w:rFonts w:ascii="Montserrat" w:cs="Montserrat" w:eastAsia="Montserrat" w:hAnsi="Montserrat"/>
          <w:b/>
          <w:bCs/>
          <w:i/>
          <w:iCs/>
          <w:color w:val="141CDB"/>
          <w:sz w:val="30"/>
          <w:szCs w:val="30"/>
        </w:rPr>
        <w:t xml:space="preserve">9. Entregable para Stitch</w:t>
      </w:r>
    </w:p>
    <w:p>
      <w:pPr>
        <w:spacing w:after="1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Al construir el system design en Stitch, se recomienda un proyecto por superficie (Portal Cliente, Panel Admin/Gerente, PWA Logística) usando los tokens de la sección 3 como "design system" base de cada uno, y generando primero las pantallas de mayor prioridad de negocio: Home/Catálogo, Ficha de Producto, Checkout, Escaneo QR e Inspección, y Dashboard KPIs. La conexión posterior por MCP debe mapear cada pantalla generada al nombre exacto de la tabla de la sección 4, para mantener trazabilidad entre este documento y el diseño visual final.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2A9AF" w:sz="4" w:space="4"/>
      </w:pBdr>
      <w:jc w:val="center"/>
    </w:pPr>
    <w:r>
      <w:rPr>
        <w:rFonts w:ascii="Inter" w:cs="Inter" w:eastAsia="Inter" w:hAnsi="Inter"/>
        <w:color w:val="5C6470"/>
        <w:sz w:val="16"/>
        <w:szCs w:val="16"/>
      </w:rPr>
      <w:t xml:space="preserve">ToolBox JL · Especificación UI/UX — ToolBox JL · Confidencial  |  Página </w:t>
    </w:r>
    <w:r>
      <w:rPr>
        <w:rFonts w:ascii="Inter" w:cs="Inter" w:eastAsia="Inter" w:hAnsi="Inter"/>
        <w:color w:val="5C64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5C6470"/>
        <w:sz w:val="16"/>
        <w:szCs w:val="16"/>
      </w:rPr>
      <w:t xml:space="preserve"> de </w:t>
    </w:r>
    <w:r>
      <w:rPr>
        <w:rFonts w:ascii="Inter" w:cs="Inter" w:eastAsia="Inter" w:hAnsi="Inter"/>
        <w:color w:val="5C64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2A9AF" w:sz="4" w:space="4"/>
      </w:pBdr>
      <w:tabs>
        <w:tab w:val="right" w:pos="9360"/>
      </w:tabs>
    </w:pPr>
    <w:r>
      <w:rPr>
        <w:rFonts w:ascii="Montserrat" w:cs="Montserrat" w:eastAsia="Montserrat" w:hAnsi="Montserrat"/>
        <w:b/>
        <w:bCs/>
        <w:i/>
        <w:iCs/>
        <w:color w:val="141CDB"/>
        <w:sz w:val="16"/>
        <w:szCs w:val="16"/>
      </w:rPr>
      <w:t xml:space="preserve">TOOLBOX JL</w:t>
    </w:r>
    <w:r>
      <w:rPr>
        <w:rFonts w:ascii="Inter" w:cs="Inter" w:eastAsia="Inter" w:hAnsi="Inter"/>
        <w:color w:val="5C6470"/>
        <w:sz w:val="16"/>
        <w:szCs w:val="16"/>
      </w:rPr>
      <w:t xml:space="preserve">	Especificación UI/UX — ToolBox JL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300bdc5231f28ce3010a8afa9a0cea3062f402d.png"/><Relationship Id="rId10" Type="http://schemas.openxmlformats.org/officeDocument/2006/relationships/image" Target="media/8c4b75707a342bb84b17da127a470d9033661ca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UI/UX — ToolBox JL</dc:title>
  <dc:creator>Equipo de Arquitectura de Soluciones</dc:creator>
  <cp:lastModifiedBy>Un-named</cp:lastModifiedBy>
  <cp:revision>1</cp:revision>
  <dcterms:created xsi:type="dcterms:W3CDTF">2026-08-21T21:43:13.051Z</dcterms:created>
  <dcterms:modified xsi:type="dcterms:W3CDTF">2026-08-21T21:43:13.051Z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