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left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44"/>
          <w:szCs w:val="44"/>
        </w:rPr>
        <w:t xml:space="preserve">TOOLBOX JL</w:t>
      </w:r>
    </w:p>
    <w:p>
      <w:pPr>
        <w:spacing w:after="600"/>
      </w:pPr>
      <w:r>
        <w:rPr>
          <w:rFonts w:ascii="Montserrat" w:cs="Montserrat" w:eastAsia="Montserrat" w:hAnsi="Montserrat"/>
          <w:b/>
          <w:bCs/>
          <w:color w:val="E70012"/>
          <w:sz w:val="20"/>
          <w:szCs w:val="20"/>
        </w:rPr>
        <w:t xml:space="preserve">POTENCIA SIN PAUSAS</w:t>
      </w:r>
    </w:p>
    <w:p>
      <w:pPr>
        <w:spacing w:after="100" w:before="800"/>
      </w:pPr>
      <w:r>
        <w:rPr>
          <w:rFonts w:ascii="Montserrat" w:cs="Montserrat" w:eastAsia="Montserrat" w:hAnsi="Montserrat"/>
          <w:b/>
          <w:bCs/>
          <w:color w:val="E70012"/>
          <w:sz w:val="24"/>
          <w:szCs w:val="24"/>
        </w:rPr>
        <w:t xml:space="preserve">DOC-FLOW-01</w:t>
      </w:r>
    </w:p>
    <w:p>
      <w:pPr>
        <w:spacing w:after="200"/>
      </w:pPr>
      <w:r>
        <w:rPr>
          <w:rFonts w:ascii="Montserrat" w:cs="Montserrat" w:eastAsia="Montserrat" w:hAnsi="Montserrat"/>
          <w:b/>
          <w:bCs/>
          <w:i/>
          <w:iCs/>
          <w:color w:val="0B0E3D"/>
          <w:sz w:val="40"/>
          <w:szCs w:val="40"/>
        </w:rPr>
        <w:t xml:space="preserve">Flujo de la Aplicación (AppFlow)</w:t>
      </w:r>
    </w:p>
    <w:p>
      <w:pPr>
        <w:spacing w:after="500"/>
      </w:pPr>
      <w:r>
        <w:rPr>
          <w:rFonts w:ascii="Inter" w:cs="Inter" w:eastAsia="Inter" w:hAnsi="Inter"/>
          <w:color w:val="5C6470"/>
          <w:sz w:val="24"/>
          <w:szCs w:val="24"/>
        </w:rPr>
        <w:t xml:space="preserve">Plataforma ToolBox JL — flujos end-to-end por proceso de negocio</w:t>
      </w:r>
    </w:p>
    <w:p>
      <w:pPr>
        <w:spacing w:after="40" w:before="1600"/>
      </w:pPr>
      <w:r>
        <w:rPr>
          <w:rFonts w:ascii="Inter" w:cs="Inter" w:eastAsia="Inter" w:hAnsi="Inter"/>
          <w:sz w:val="20"/>
          <w:szCs w:val="20"/>
        </w:rPr>
        <w:t xml:space="preserve">Proyecto: Sistema de Gestión, Alquiler, Venta de Herramientas y Logística Inteligente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Cliente: ToolBox JL S.A.S.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Versión del documento: 1.0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Fecha: 21 de agosto de 2026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Elaborado por: Equipo de Arquitectura de Soluciones</w:t>
      </w:r>
    </w:p>
    <w:p>
      <w:r>
        <w:br w:type="page"/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1. Propósito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documento describe, paso a paso, cómo se ejecutan en el sistema los procesos de negocio críticos identificados en el PRD, señalando en cada paso qué actor humano actúa, qué hace, y qué componente técnico (del TRD/Esquema de Backend) lo resuelve. Sirve como referencia para pruebas end-to-end, para la construcción de las pantallas en Stitch en el orden correcto, y como material de onboarding operativo (almacenistas, repartidores) una vez el sistema esté en producción.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2. Flujo Principal — Alquiler Completo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es el flujo central del negocio: cubre desde que un cliente cotiza hasta que la herramienta vuelve al inventario y la orden se cierra financieramente.</w:t>
      </w:r>
    </w:p>
    <w:p>
      <w:pPr>
        <w:spacing w:after="120" w:before="200"/>
        <w:jc w:val="center"/>
      </w:pPr>
      <w:r>
        <w:drawing>
          <wp:inline distT="0" distB="0" distL="0" distR="0">
            <wp:extent cx="3619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Inter" w:cs="Inter" w:eastAsia="Inter" w:hAnsi="Inter"/>
          <w:i/>
          <w:iCs/>
          <w:color w:val="5C6470"/>
          <w:sz w:val="18"/>
          <w:szCs w:val="18"/>
        </w:rPr>
        <w:t xml:space="preserve">Figura 1. AppFlow del proceso de alquiler completo.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3960"/>
        <w:gridCol w:w="2700"/>
      </w:tblGrid>
      <w:tr>
        <w:trPr>
          <w:tblHeader/>
        </w:trPr>
        <w:tc>
          <w:tcPr>
            <w:tcW w:type="pct" w:w="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Sistema / Componente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Selecciona una herramienta, elige fechas de alquiler y dirección de entrega.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Portal Cliente → PricingModule (RF-2.1): calcula tarifa, recargo logístico y depósito de garantía.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Confirma la orden y paga con PSE, tarjeta o elige contra entrega.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PaymentsModule + Wompi (sandbox). Con tarjeta se ejecuta un hold del depósito (RF-2.2).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Sistema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Confirma la orden, reserva las unidades físicas específicas y genera el QR de salida asociado a la orden.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InventoryModule marca ToolUnit como "Reservada".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1 / Administrador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Asigna la orden a una ruta de reparto del día correspondiente.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Fase 2: batch nocturno automático. Fase 1: asignación manual desde el Panel Admin.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Repartidor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Llega al punto de entrega, escanea el QR de cada unidad y completa el checklist de salida.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PWA Logística → PATCH /inventory/units/{id}/status (RF-1.4).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Usa la herramienta durante el periodo contratado.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2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Envía recordatorio de voz por WhatsApp 24h antes del vencimiento; gestiona reprogramación si el cliente la solicita.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Fase 2. Ver Flujo del Agente 2 (sección 6).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Devuelve la herramienta en sede, o solicita recogida a domicilio.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Campo ReturnMode en la orden (RF-4.1).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 / Repartidor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Escanea el QR de recepción y ejecuta el checklist de inspección con evidencia fotográfica.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InspectionModule (RF-4.2). Un hallazgo negativo dispara EjecutarGarantiaCommand.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Sistema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 la devolución es puntual y sin daños: libera el depósito de garantía. Si hay atraso: calcula y factura mora (RF-4.3). Si hay daño: ejecuta el depósito parcial/total.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PaymentsModule + MoraCalculatorJob.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3. Flujo — Venta Directa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3960"/>
        <w:gridCol w:w="2700"/>
      </w:tblGrid>
      <w:tr>
        <w:trPr>
          <w:tblHeader/>
        </w:trPr>
        <w:tc>
          <w:tcPr>
            <w:tcW w:type="pct" w:w="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Sistema / Componente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Selecciona un modelo marcado como disponible para venta.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CatalogModule.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Paga el valor total (no aplica depósito de garantía).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PaymentsModule + Wompi.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Sistema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Transfiere la propiedad de la unidad física fuera del inventario de alquiler.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InventoryModule marca la unidad como "Vendida" — sale del pool disponible.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 / Repartidor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Entrega la unidad (en sede o a domicilio) sin checklist de devolución posterior.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PWA Logística — flujo de entrega idéntico al de alquiler, sin ciclo de retorno.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4. Flujo — Registro, Login y Verificación 2FA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3960"/>
        <w:gridCol w:w="2700"/>
      </w:tblGrid>
      <w:tr>
        <w:trPr>
          <w:tblHeader/>
        </w:trPr>
        <w:tc>
          <w:tcPr>
            <w:tcW w:type="pct" w:w="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Sistema / Componente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Usuario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 registra con correo/contraseña o Google OAuth, o inicia sesión desde un dispositivo nuevo.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Supabase Auth.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Sistema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Detecta dispositivo nuevo y genera un OTP de 6 dígitos.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Servicio propio de 2FA (backend).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Sistema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Envía el OTP por WhatsApp.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WhatsApp Cloud API.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Usuario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Ingresa el OTP recibido en el Portal/PWA.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Validación del OTP; si expira, se puede reenviar.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Sistema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Emite JWT (access token 15 min) y refresh token en cookie HTTP-Only.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Supabase Auth.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5. Flujo — Ciclo de Vida de una Unidad Física (QR)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flujo no es lineal como los anteriores: describe los estados por los que transita una unidad física a lo largo de su vida útil y qué evento provoca cada transición.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600"/>
        <w:gridCol w:w="3420"/>
      </w:tblGrid>
      <w:tr>
        <w:trPr>
          <w:tblHeader/>
        </w:trPr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pct" w:w="4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Cómo se llega</w:t>
            </w:r>
          </w:p>
        </w:tc>
        <w:tc>
          <w:tcPr>
            <w:tcW w:type="pct" w:w="38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Próximos estados posibles</w:t>
            </w:r>
          </w:p>
        </w:tc>
      </w:tr>
      <w:t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Nuevo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Alta por el Almacenista (RF-1.2): se genera UUID + QR.</w:t>
            </w:r>
          </w:p>
        </w:tc>
        <w:tc>
          <w:tcPr>
            <w:tcW w:type="pct" w:w="3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Excelente/Operativo (tras primera revisión)</w:t>
            </w:r>
          </w:p>
        </w:tc>
      </w:tr>
      <w:tr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Excelente / Operativo</w:t>
            </w:r>
          </w:p>
        </w:tc>
        <w:tc>
          <w:tcPr>
            <w:tcW w:type="pct" w:w="4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Inspección sin hallazgos negativos, o revisión inicial aprobada.</w:t>
            </w:r>
          </w:p>
        </w:tc>
        <w:tc>
          <w:tcPr>
            <w:tcW w:type="pct" w:w="38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Reservada, En Mantenimiento</w:t>
            </w:r>
          </w:p>
        </w:tc>
      </w:tr>
      <w:t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Reservada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Una orden de alquiler/venta confirma esta unidad específica.</w:t>
            </w:r>
          </w:p>
        </w:tc>
        <w:tc>
          <w:tcPr>
            <w:tcW w:type="pct" w:w="3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Excelente/Operativo (si la orden se cancela), En tránsito</w:t>
            </w:r>
          </w:p>
        </w:tc>
      </w:tr>
      <w:tr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 Mantenimiento</w:t>
            </w:r>
          </w:p>
        </w:tc>
        <w:tc>
          <w:tcPr>
            <w:tcW w:type="pct" w:w="4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Inspección con hallazgo menor que no amerita baja.</w:t>
            </w:r>
          </w:p>
        </w:tc>
        <w:tc>
          <w:tcPr>
            <w:tcW w:type="pct" w:w="38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Excelente/Operativo (tras reparación), Dado de Baja</w:t>
            </w:r>
          </w:p>
        </w:tc>
      </w:tr>
      <w:t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Dado de Baja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Daño irreparable, pérdida o hurto (ver Contrato de Alquiler §7).</w:t>
            </w:r>
          </w:p>
        </w:tc>
        <w:tc>
          <w:tcPr>
            <w:tcW w:type="pct" w:w="3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 terminal — sale del inventario activo.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6. Flujo — Agente 2: WhatsApp Conversacional (Reprogramación)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3960"/>
        <w:gridCol w:w="2700"/>
      </w:tblGrid>
      <w:tr>
        <w:trPr>
          <w:tblHeader/>
        </w:trPr>
        <w:tc>
          <w:tcPr>
            <w:tcW w:type="pct" w:w="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Sistema / Componente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2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24h antes del vencimiento, envía nota de voz recordando la devolución.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Job programado + ElevenLabs TTS + WhatsApp Cloud API.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Responde por voz pidiendo extender el alquiler.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Nota de voz entrante recibida por webhook.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2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Transcribe el mensaje y consulta disponibilidad futura de la unidad.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Deepgram STT → Claude interpreta intención → GET /inventory/check-availability.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2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 hay disponibilidad, calcula el costo adicional y presenta dos opciones al cliente por voz.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ElevenLabs TTS: "(a) pago inmediato por link, o (b) se acumula a tu factura final".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Elige una opción por voz o texto.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2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Ejecuta la extensión y confirma.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 /rentals/extend; si eligió pago inmediato, genera link de pago Wompi.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7. Flujo — Agente 3: Conserje de Voz Web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3960"/>
        <w:gridCol w:w="2700"/>
      </w:tblGrid>
      <w:tr>
        <w:trPr>
          <w:tblHeader/>
        </w:trPr>
        <w:tc>
          <w:tcPr>
            <w:tcW w:type="pct" w:w="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Sistema / Componente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Abre el widget de voz en el Portal y habla su necesidad (p. ej. "taladro percutor para concreto, 3 días desde el jueves").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Sesión LiveKit (WebRTC) iniciada desde el navegador.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3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Transcribe en streaming y extrae categoría, atributo y rango de fechas.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Deepgram STT (streaming) → Claude.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3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Busca en el catálogo y valida disponibilidad para las fechas solicitadas.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 /catalog/search.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3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Recomienda un modelo por voz y pide confirmación.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ElevenLabs TTS (streaming).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Confirma verbalmente.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3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Agrega el producto al carrito y lo confirma por voz.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 /cart/add-item.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8. Flujo — Agente 1: Ruteo Nocturno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3960"/>
        <w:gridCol w:w="2700"/>
      </w:tblGrid>
      <w:tr>
        <w:trPr>
          <w:tblHeader/>
        </w:trPr>
        <w:tc>
          <w:tcPr>
            <w:tcW w:type="pct" w:w="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Sistema / Componente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Sistema (cron)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 la hora programada (ej. 02:00), dispara el job de ruteo del día siguiente.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Railway Workers.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1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Consulta pedidos confirmados de entrega/recogida del día siguiente.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 /logistics/pending-orders.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1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Agrupa por zona geográfica y asigna respetando capacidad de peso/volumen de cada vehículo.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Lógica de clustering + bin-packing.</w:t>
            </w:r>
          </w:p>
        </w:tc>
      </w:tr>
      <w:tr>
        <w:tc>
          <w:tcPr>
            <w:tcW w:type="pct" w:w="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1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Publica las rutas asignadas.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POST /logistics/assign-routes.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Repartidor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 su ruta del día al abrir la PWA en la mañana.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PWA Logística — pantalla "Ruta del Día".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9. Manejo de Casos Límite (transversal)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pct" w:w="3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pct" w:w="6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Comportamiento esperado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Pago rechazado en checkout</w:t>
            </w:r>
          </w:p>
        </w:tc>
        <w:tc>
          <w:tcPr>
            <w:tcW w:type="pct" w:w="6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La orden queda en estado "Pendiente de pago"; las unidades no se reservan hasta confirmación; el cliente puede reintentar con otro método.</w:t>
            </w:r>
          </w:p>
        </w:tc>
      </w:tr>
      <w:tr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QR ilegible o dañado en campo</w:t>
            </w:r>
          </w:p>
        </w:tc>
        <w:tc>
          <w:tcPr>
            <w:tcW w:type="pct" w:w="6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La PWA ofrece ingreso manual del código/SKU como alternativa siempre visible (ver Especificación UI/UX §5.2).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Repartidor sin cobertura de red</w:t>
            </w:r>
          </w:p>
        </w:tc>
        <w:tc>
          <w:tcPr>
            <w:tcW w:type="pct" w:w="6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La PWA opera offline-first: la inspección y el cambio de estado quedan en cola local y se sincronizan al reconectar (RNF-7).</w:t>
            </w:r>
          </w:p>
        </w:tc>
      </w:tr>
      <w:tr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 no responde el recordatorio del Agente 2</w:t>
            </w:r>
          </w:p>
        </w:tc>
        <w:tc>
          <w:tcPr>
            <w:tcW w:type="pct" w:w="6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 reintenta un recordatorio adicional; si no hay respuesta antes del vencimiento, la orden pasa a mora automáticamente (RF-4.3) sin bloquear el proceso.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Agente 3 no logra entender la solicitud de voz</w:t>
            </w:r>
          </w:p>
        </w:tc>
        <w:tc>
          <w:tcPr>
            <w:tcW w:type="pct" w:w="6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Tras dos intentos fallidos de interpretación, el widget ofrece cambiar a búsqueda por texto en el catálogo tradicional.</w:t>
            </w:r>
          </w:p>
        </w:tc>
      </w:tr>
      <w:tr>
        <w:tc>
          <w:tcPr>
            <w:tcW w:type="pct" w:w="3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Unidad reservada por dos flujos simultáneos (condición de carrera)</w:t>
            </w:r>
          </w:p>
        </w:tc>
        <w:tc>
          <w:tcPr>
            <w:tcW w:type="pct" w:w="6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El backend aplica bloqueo optimista sobre ToolUnit al confirmar el pago; la segunda solicitud recibe error de disponibilidad y se le ofrece una unidad alterna del mismo modelo.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2A9AF" w:sz="4" w:space="4"/>
      </w:pBdr>
      <w:jc w:val="center"/>
    </w:pPr>
    <w:r>
      <w:rPr>
        <w:rFonts w:ascii="Inter" w:cs="Inter" w:eastAsia="Inter" w:hAnsi="Inter"/>
        <w:color w:val="5C6470"/>
        <w:sz w:val="16"/>
        <w:szCs w:val="16"/>
      </w:rPr>
      <w:t xml:space="preserve">ToolBox JL · AppFlow — ToolBox JL · Confidencial  |  Página </w:t>
    </w:r>
    <w:r>
      <w:rPr>
        <w:rFonts w:ascii="Inter" w:cs="Inter" w:eastAsia="Inter" w:hAnsi="Inter"/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C6470"/>
        <w:sz w:val="16"/>
        <w:szCs w:val="16"/>
      </w:rPr>
      <w:t xml:space="preserve"> de </w:t>
    </w:r>
    <w:r>
      <w:rPr>
        <w:rFonts w:ascii="Inter" w:cs="Inter" w:eastAsia="Inter" w:hAnsi="Inter"/>
        <w:color w:val="5C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2A9AF" w:sz="4" w:space="4"/>
      </w:pBdr>
      <w:tabs>
        <w:tab w:val="right" w:pos="9360"/>
      </w:tabs>
    </w:pPr>
    <w:r>
      <w:rPr>
        <w:rFonts w:ascii="Montserrat" w:cs="Montserrat" w:eastAsia="Montserrat" w:hAnsi="Montserrat"/>
        <w:b/>
        <w:bCs/>
        <w:i/>
        <w:iCs/>
        <w:color w:val="141CDB"/>
        <w:sz w:val="16"/>
        <w:szCs w:val="16"/>
      </w:rPr>
      <w:t xml:space="preserve">TOOLBOX JL</w:t>
    </w:r>
    <w:r>
      <w:rPr>
        <w:rFonts w:ascii="Inter" w:cs="Inter" w:eastAsia="Inter" w:hAnsi="Inter"/>
        <w:color w:val="5C6470"/>
        <w:sz w:val="16"/>
        <w:szCs w:val="16"/>
      </w:rPr>
      <w:t xml:space="preserve">	AppFlow — ToolBox JL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b0ce2240473eb84c7b244befab3d8fefcaef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AppFlow — ToolBox JL</dc:title>
  <dc:creator>Equipo de Arquitectura de Soluciones</dc:creator>
  <cp:lastModifiedBy>Un-named</cp:lastModifiedBy>
  <cp:revision>1</cp:revision>
  <dcterms:created xsi:type="dcterms:W3CDTF">2026-08-21T21:45:10.413Z</dcterms:created>
  <dcterms:modified xsi:type="dcterms:W3CDTF">2026-08-21T21:45:10.413Z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