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left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44"/>
          <w:szCs w:val="44"/>
        </w:rPr>
        <w:t xml:space="preserve">TOOLBOX JL</w:t>
      </w:r>
    </w:p>
    <w:p>
      <w:pPr>
        <w:spacing w:after="600"/>
      </w:pPr>
      <w:r>
        <w:rPr>
          <w:rFonts w:ascii="Montserrat" w:cs="Montserrat" w:eastAsia="Montserrat" w:hAnsi="Montserrat"/>
          <w:b/>
          <w:bCs/>
          <w:color w:val="E70012"/>
          <w:sz w:val="20"/>
          <w:szCs w:val="20"/>
        </w:rPr>
        <w:t xml:space="preserve">POTENCIA SIN PAUSAS</w:t>
      </w:r>
    </w:p>
    <w:p>
      <w:pPr>
        <w:spacing w:after="100" w:before="800"/>
      </w:pPr>
      <w:r>
        <w:rPr>
          <w:rFonts w:ascii="Montserrat" w:cs="Montserrat" w:eastAsia="Montserrat" w:hAnsi="Montserrat"/>
          <w:b/>
          <w:bCs/>
          <w:color w:val="E70012"/>
          <w:sz w:val="24"/>
          <w:szCs w:val="24"/>
        </w:rPr>
        <w:t xml:space="preserve">DOC-BE-01</w:t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i/>
          <w:iCs/>
          <w:color w:val="0B0E3D"/>
          <w:sz w:val="40"/>
          <w:szCs w:val="40"/>
        </w:rPr>
        <w:t xml:space="preserve">Esquema de Backend</w:t>
      </w:r>
    </w:p>
    <w:p>
      <w:pPr>
        <w:spacing w:after="500"/>
      </w:pPr>
      <w:r>
        <w:rPr>
          <w:rFonts w:ascii="Inter" w:cs="Inter" w:eastAsia="Inter" w:hAnsi="Inter"/>
          <w:color w:val="5C6470"/>
          <w:sz w:val="24"/>
          <w:szCs w:val="24"/>
        </w:rPr>
        <w:t xml:space="preserve">Plataforma ToolBox JL — modelo de datos, módulos NestJS y contratos de API</w:t>
      </w:r>
    </w:p>
    <w:p>
      <w:pPr>
        <w:spacing w:after="40" w:before="1600"/>
      </w:pPr>
      <w:r>
        <w:rPr>
          <w:rFonts w:ascii="Inter" w:cs="Inter" w:eastAsia="Inter" w:hAnsi="Inter"/>
          <w:sz w:val="20"/>
          <w:szCs w:val="20"/>
        </w:rPr>
        <w:t xml:space="preserve">Proyecto: Sistema de Gestión, Alquiler, Venta de Herramientas y Logística Inteligente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Cliente: ToolBox JL S.A.S.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Versión del documento: 1.1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Fecha: 21 de agosto de 2026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Elaborado por: Equipo de Arquitectura de Soluciones</w:t>
      </w:r>
    </w:p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1. Propósito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especifica cómo se organiza el código del backend (NestJS, Clean Architecture) y cómo se modelan los datos en Supabase/PostgreSQL, con el nivel de detalle suficiente para iniciar la implementación: estructura de carpetas, entidades principales con sus campos clave, y el contrato de API por módulo. El detalle exhaustivo de cada DTO y validación queda en openapi.yaml, el contrato de API spec-first del proyecto: bajo la metodología Spec-Driven Development adoptada (ver Documento de Arquitectura §6.1 y Plan de Implementación §1.1), este archivo se escribe antes que el código y es la fuente de verdad contra la que se valida la implementación, en lugar de generarse automáticamente desde ella.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2. Organización del Código (Clean Architecture)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 único servicio NestJS, organizado por módulo de negocio; cada módulo replica internamente las cuatro capas de Clean Architecture: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pct" w:w="78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domain/</w:t>
            </w:r>
          </w:p>
        </w:tc>
        <w:tc>
          <w:tcPr>
            <w:tcW w:type="pct" w:w="7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Entidades de negocio y value objects puros (p. ej. ToolUnit, EstadoUnidad, DineroCOP). Sin dependencias de NestJS ni de la base de datos.</w:t>
            </w:r>
          </w:p>
        </w:tc>
      </w:tr>
      <w:tr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application/</w:t>
            </w:r>
          </w:p>
        </w:tc>
        <w:tc>
          <w:tcPr>
            <w:tcW w:type="pct" w:w="7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Commands, Queries y sus Handlers (@nestjs/cqrs). Cada Handler retorna Result&lt;T, ErrorNegocio&gt; — nunca lanza excepción para un error de negocio esperado (p. ej. "unidad no disponible").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infrastructure/</w:t>
            </w:r>
          </w:p>
        </w:tc>
        <w:tc>
          <w:tcPr>
            <w:tcW w:type="pct" w:w="7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Repositorios concretos (Prisma sobre Supabase Postgres), clientes de integraciones externas (WompiClient, WhatsAppClient, LiveKitClient, DeepgramClient, ElevenLabsClient), publicación de eventos de dominio.</w:t>
            </w:r>
          </w:p>
        </w:tc>
      </w:tr>
      <w:tr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interface/ (api)</w:t>
            </w:r>
          </w:p>
        </w:tc>
        <w:tc>
          <w:tcPr>
            <w:tcW w:type="pct" w:w="7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Controladores REST, DTOs de entrada/salida, guards de autenticación y de rol (RBAC), pipes de validación, documentación OpenAPI vía decoradores @nestjs/swagger.</w:t>
            </w:r>
          </w:p>
        </w:tc>
      </w:tr>
    </w:tbl>
    <w:p>
      <w:pPr>
        <w:spacing w:after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Módulos de negocio: CatalogModule, InventoryModule, PricingModule, PaymentsModule, FleetModule, LogisticsModule, InspectionModule, AnalyticsModule, AuthModule, AgentsModule (integraciones de IA, ver TRD §4). Un módulo compartido (SharedKernel) contiene value objects comunes (Dinero, Zona, Rol).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3. Modelo de Datos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siguiente diagrama entidad-relación simplificado muestra las entidades centrales del dominio transaccional y sus relaciones principales. Los campos listados son los relevantes para entender el modelo, no el esquema completo de columnas (ver diccionario de datos, sección 3.2).</w:t>
      </w:r>
    </w:p>
    <w:p>
      <w:pPr>
        <w:spacing w:after="120" w:before="20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Inter" w:cs="Inter" w:eastAsia="Inter" w:hAnsi="Inter"/>
          <w:i/>
          <w:iCs/>
          <w:color w:val="5C6470"/>
          <w:sz w:val="18"/>
          <w:szCs w:val="18"/>
        </w:rPr>
        <w:t xml:space="preserve">Figura 1. Modelo de datos entidad-relación simplificado.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3.1 Convenciones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Todas las tablas usan UUID como llave primaria (uuid v4), generado en el backend, no en el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Campos monetarios se almacenan en pesos colombianos (COP) como entero (centavos no aplica en COP); nunca como punto flotante.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Toda tabla transaccional incluye created_at y updated_at (timestamptz) gestionados automáticamente.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Los estados (ToolUnit.estado, Order.estado, Shipment.estado_envio) se implementan como enum de Postgres, no como texto libre, para garantizar integridad.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3.2 Diccionario de Datos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tool_models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Ficha técnica del modelo base de herramienta (RF-1.1).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Identificador del modelo.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nombre, marca, categoria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Datos descriptivos del catálogo.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potencia_w, peso_kg, volumen_m3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Usados por PricingModule para recargo logístico (RF-3.2).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tarifa_dia, tarifa_semana, costo_compra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integer (COP)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Base para cotización y cálculo de ROI.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deposito_pct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Porcentaje de depósito de garantía, activable/desactivable (RF-2.2).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interes_mora_dia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Usado por MoraCalculatorJob (RF-4.3).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manual_pdf_url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Referencia a Supabase Storage.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tool_units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Unidad física serializada, ligada a un modelo (RF-1.2).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También codificado en el QR físico impreso.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modelo_id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tool_models)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Modelo base al que pertenece.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numero_serie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Serie del fabricante.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Nuevo · Excelente · Operativo · En Mantenimiento · Dado de Baja (RF-1.3).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fecha_ingreso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Alta en inventario.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tool_unit_status_log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Hoja de vida: histórico de cambios de estado con evidencia.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tool_units)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estado_anterior, estado_nuevo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Transición registrada.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fotos_urls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text[]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Evidencia fotográfica (Supabase Storage).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autor_id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users)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Almacenista/Repartidor que registró el cambio.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users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Todos los roles del sistema (Administrador, Gerente, Almacenista, Repartidor, Cliente).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Sincronizado con Supabase Auth.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rol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admin · gerente · almacenista · repartidor · cliente.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nombre, email, telefono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telefono es obligatorio para 2FA por WhatsApp.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tipo_cliente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 (nullable)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B2C · B2B, solo aplica a rol cliente.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orders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Orden de alquiler o venta.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users)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alquiler · venta.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pendiente_pago · confirmada · en_curso · devuelta · cerrada · cancelada.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fecha_inicio, fecha_fin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Rango del alquiler (nulo en venta).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return_mode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en_sede · recogida_domicilio (RF-4.1).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direccion_entrega, zona_id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 / FK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Usado por PricingModule y LogisticsModule.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order_items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Unidades físicas específicas reservadas por una orden.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orders)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tool_units)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 física concreta, no el modelo.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tarifa_aplicada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integer (COP)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Tarifa congelada al momento de la cotización.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payments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Pagos y depósitos de garantía asociados a una orden (RF-2.2, RF-2.3, RF-2.4).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orders)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pago_alquiler · pago_venta · deposito_garantia · cobro_mora.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metodo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pse · tarjeta · contra_entrega.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pendiente · hold · capturado · reembolsado · fallido.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monto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integer (COP)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wompi_transaction_id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Referencia externa para conciliación.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vehicles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Flota de reparto (RF-3.1).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moto · camioneta · camion.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capacidad_kg, capacidad_m3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Restricción usada por el Agente 1.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zonas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uuid[]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Zonas geográficas asignadas.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users, nullable)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Conductor asignado.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shipments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Envío (entrega o recogida) asociado a una orden (RF-3.3).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orders)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vehiculo_id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vehicles, nullable)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Nulo hasta que el Agente 1 (o un admin) asigna.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entrega · recogida.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estado_envio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pendiente_asignacion · en_ruta_entrega · entregado · en_ruta_recogida · retornado.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routes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Ruta diaria generada por el Agente 1 (o manualmente en Fase 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vehiculo_id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vehicles)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fecha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Día que cubre la ruta.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paradas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Lista ordenada de shipment_id con secuencia optimizada.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generada_por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agente_1 · manual.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inspection_checklists</w:t>
      </w:r>
    </w:p>
    <w:p>
      <w:pPr>
        <w:spacing w:after="90" w:line="300"/>
      </w:pPr>
      <w:r>
        <w:rPr>
          <w:rFonts w:ascii="Inter" w:cs="Inter" w:eastAsia="Inter" w:hAnsi="Inter"/>
          <w:b w:val="false"/>
          <w:bCs w:val="false"/>
          <w:i/>
          <w:iCs/>
          <w:color w:val="5C6470"/>
          <w:sz w:val="21"/>
          <w:szCs w:val="21"/>
        </w:rPr>
        <w:t xml:space="preserve">Checklist de inspección en entrega o recepción (RF-4.2).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unidad_id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tool_units)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shipment_id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uuid (FK → shipments)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salida · recepcion.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hallazgos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Lista de daños/piezas faltantes reportados.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fotos_urls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text[]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Evidencia fotográfica.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garantia_ejecutada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Indica si disparó EjecutarGarantiaCommand.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4. Contratos de API por Módulo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Todos los endpoints están especificados en openapi.yaml (OpenAPI 3.0, spec-first — RNF-6, ver §1) y protegidos por JWT + guard de rol, salvo los explícitamente públicos (catálogo de lectura). Las tablas siguientes son un resumen legible por módulo; el contrato exacto (rutas, esquemas de request/response, roles) vive en el archivo YAML.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4.1 Catálogo e Inventario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/catalog/search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Público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Búsqueda de modelos disponibles, usada también por el Agente 3.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/catalog/models/{id}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Público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Ficha técnica de un modelo.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/inventory/models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Administrador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Registrar ficha técnica (RF-1.1).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/inventory/units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Almacenista, Administrador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Alta de unidad física + generación de QR (RF-1.2).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/inventory/units/{id}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Almacenista, Repartidor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Ficha de unidad al escanear QR (RF-1.4).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/inventory/units/{id}/status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Almacenista, Repartidor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Cambio de estado + hoja de vida (RF-1.3).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4.2 Cotización, Órdenes y Pagos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/orders/quote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Cotización (tarifa + recargo + garantía) — RF-2.1.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/orders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Crear orden (alquiler o venta).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/orders/{id}/pay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Iniciar pago vía Wompi (PSE/Tarjeta/COD) — RF-2.2/2.3.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/orders/{id}/confirm-cod-payment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Confirmar pago contra entrega — RF-2.4.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/orders/{id}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 (propia orden), Admin, Gerente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Detalle de orden.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/rentals/extend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Cliente, Agente 2 (tool calling)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Extender un alquiler activo.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4.3 Logística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/fleet/vehicles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Administrador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Registrar vehículo (RF-3.1).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/logistics/pending-orders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 (tool calling), Admin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Pedidos confirmados sin ruta asignada.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/logistics/assign-routes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 (tool calling), Admin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Publicar rutas del día (RF-3.1).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/logistics/shipments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Panel de seguimiento en tiempo real (RF-3.3).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/inventory/check-availability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2/3 (tool calling), Cliente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Disponibilidad por fechas.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4.4 Inspección y Mora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/inspections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Almacenista, Repartidor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Registrar checklist de salida/recepción (RF-4.2).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/billing/mora/{orderId}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Cliente, Administrador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Consultar comprobante de mora generado (RF-4.3).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4.5 Carrito y Conserje de Voz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/cart/add-item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Cliente, Agente 3 (tool calling)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Agregar producto al carrito.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/cart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 carrito activo.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4.6 Analítica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980"/>
        <w:gridCol w:w="30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requerido</w:t>
            </w:r>
          </w:p>
        </w:tc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/analytics/revenue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Ingresos totales desglosados (Fase 1).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/analytics/roi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ROI por herramienta (Fase 2).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/analytics/utilization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Tasa de utilización de inventario (Fase 2).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/analytics/delivery-productivity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Productividad de repartidores (Fase 2).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5. Eventos y Procesos Asíncronos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340"/>
        <w:gridCol w:w="4140"/>
      </w:tblGrid>
      <w:tr>
        <w:trPr>
          <w:tblHeader/>
        </w:trPr>
        <w:tc>
          <w:tcPr>
            <w:tcW w:type="pct" w:w="28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Proceso</w:t>
            </w:r>
          </w:p>
        </w:tc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Disparador</w:t>
            </w:r>
          </w:p>
        </w:tc>
        <w:tc>
          <w:tcPr>
            <w:tcW w:type="pct" w:w="4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MoraCalculatorJob</w:t>
            </w:r>
          </w:p>
        </w:tc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Cron diario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Detecta órdenes vencidas sin devolución y genera comprobante de mora (RF-4.3).</w:t>
            </w:r>
          </w:p>
        </w:tc>
      </w:tr>
      <w:tr>
        <w:tc>
          <w:tcPr>
            <w:tcW w:type="pct" w:w="2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RouteAssignmentJob (Agente 1)</w:t>
            </w:r>
          </w:p>
        </w:tc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Cron nocturno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Genera y publica rutas del día siguiente.</w:t>
            </w:r>
          </w:p>
        </w:tc>
      </w:tr>
      <w:t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WhatsAppReminderJob (Agente 2)</w:t>
            </w:r>
          </w:p>
        </w:tc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Cron horario (ventana de 24h antes del vencimiento)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Dispara el recordatorio de voz por orden próxima a vencer.</w:t>
            </w:r>
          </w:p>
        </w:tc>
      </w:tr>
      <w:tr>
        <w:tc>
          <w:tcPr>
            <w:tcW w:type="pct" w:w="2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WompiWebhookHandler</w:t>
            </w:r>
          </w:p>
        </w:tc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Webhook entrante de Wompi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Actualiza el estado de un Payment (capturado/fallido/reembolsado).</w:t>
            </w:r>
          </w:p>
        </w:tc>
      </w:tr>
      <w:t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WhatsAppWebhookHandler</w:t>
            </w:r>
          </w:p>
        </w:tc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Webhook entrante de Meta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Enruta mensajes entrantes al Agente 2 (texto o nota de voz).</w:t>
            </w:r>
          </w:p>
        </w:tc>
      </w:tr>
      <w:tr>
        <w:tc>
          <w:tcPr>
            <w:tcW w:type="pct" w:w="2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GarantiaExecutionHandler</w:t>
            </w:r>
          </w:p>
        </w:tc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Evento de dominio InspeccionConHallazgo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Ejecuta el depósito de garantía parcial o total.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6. Seguridad a Nivel de Esquema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Row-Level Security (RLS): </w:t>
      </w:r>
      <w:r>
        <w:rPr>
          <w:rFonts w:ascii="Inter" w:cs="Inter" w:eastAsia="Inter" w:hAnsi="Inter"/>
          <w:sz w:val="21"/>
          <w:szCs w:val="21"/>
        </w:rPr>
        <w:t xml:space="preserve">Activado en Supabase para tablas con datos de cliente (orders, payments, inspection_checklists): un usuario con rol cliente solo puede leer sus propias filas; los roles operativos acceden vía políticas específicas por rol.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Escritura transaccional: </w:t>
      </w:r>
      <w:r>
        <w:rPr>
          <w:rFonts w:ascii="Inter" w:cs="Inter" w:eastAsia="Inter" w:hAnsi="Inter"/>
          <w:sz w:val="21"/>
          <w:szCs w:val="21"/>
        </w:rPr>
        <w:t xml:space="preserve">El frontend nunca escribe directamente en las tablas transaccionales vía cliente Supabase; toda escritura pasa por la API NestJS, que aplica las reglas de negocio (Application layer) antes de persistir.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Auditoría: </w:t>
      </w:r>
      <w:r>
        <w:rPr>
          <w:rFonts w:ascii="Inter" w:cs="Inter" w:eastAsia="Inter" w:hAnsi="Inter"/>
          <w:sz w:val="21"/>
          <w:szCs w:val="21"/>
        </w:rPr>
        <w:t xml:space="preserve">tool_unit_status_log e inspection_checklists actúan como bitácora inmutable — no se permite UPDATE ni DELETE, solo INSERT.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7. Migraciones y Versionado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Las migraciones de esquema se gestionan con Prisma Migrate, versionadas en el mismo repositorio del backend. Cada migración se aplica automáticamente en el pipeline de CI/CD antes del despliegue a Railway (ver TRD §7). No se realizan cambios de esquema manuales directamente en el panel de Supabase en producción.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F" w:sz="4" w:space="4"/>
      </w:pBdr>
      <w:jc w:val="center"/>
    </w:pPr>
    <w:r>
      <w:rPr>
        <w:rFonts w:ascii="Inter" w:cs="Inter" w:eastAsia="Inter" w:hAnsi="Inter"/>
        <w:color w:val="5C6470"/>
        <w:sz w:val="16"/>
        <w:szCs w:val="16"/>
      </w:rPr>
      <w:t xml:space="preserve">ToolBox JL · Esquema de Backend — ToolBox JL · Confidencial  |  Página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C6470"/>
        <w:sz w:val="16"/>
        <w:szCs w:val="16"/>
      </w:rPr>
      <w:t xml:space="preserve"> de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2A9AF" w:sz="4" w:space="4"/>
      </w:pBdr>
      <w:tabs>
        <w:tab w:val="right" w:pos="9360"/>
      </w:tabs>
    </w:pPr>
    <w:r>
      <w:rPr>
        <w:rFonts w:ascii="Montserrat" w:cs="Montserrat" w:eastAsia="Montserrat" w:hAnsi="Montserrat"/>
        <w:b/>
        <w:bCs/>
        <w:i/>
        <w:iCs/>
        <w:color w:val="141CDB"/>
        <w:sz w:val="16"/>
        <w:szCs w:val="16"/>
      </w:rPr>
      <w:t xml:space="preserve">TOOLBOX JL</w:t>
    </w:r>
    <w:r>
      <w:rPr>
        <w:rFonts w:ascii="Inter" w:cs="Inter" w:eastAsia="Inter" w:hAnsi="Inter"/>
        <w:color w:val="5C6470"/>
        <w:sz w:val="16"/>
        <w:szCs w:val="16"/>
      </w:rPr>
      <w:t xml:space="preserve">	Esquema de Backend — ToolBox JL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06b7bd099677416e4b22e172cf65dbee304d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 Backend — ToolBox JL</dc:title>
  <dc:creator>Equipo de Arquitectura de Soluciones</dc:creator>
  <cp:lastModifiedBy>Un-named</cp:lastModifiedBy>
  <cp:revision>1</cp:revision>
  <dcterms:created xsi:type="dcterms:W3CDTF">2026-08-22T14:51:58.875Z</dcterms:created>
  <dcterms:modified xsi:type="dcterms:W3CDTF">2026-08-22T14:51:58.875Z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