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left"/>
      </w:pPr>
      <w:r>
        <w:rPr>
          <w:rFonts w:ascii="Montserrat" w:cs="Montserrat" w:eastAsia="Montserrat" w:hAnsi="Montserrat"/>
          <w:b/>
          <w:bCs/>
          <w:i/>
          <w:iCs/>
          <w:color w:val="141CDB"/>
          <w:sz w:val="44"/>
          <w:szCs w:val="44"/>
        </w:rPr>
        <w:t xml:space="preserve">TOOLBOX JL</w:t>
      </w:r>
    </w:p>
    <w:p>
      <w:pPr>
        <w:spacing w:after="600"/>
      </w:pPr>
      <w:r>
        <w:rPr>
          <w:rFonts w:ascii="Montserrat" w:cs="Montserrat" w:eastAsia="Montserrat" w:hAnsi="Montserrat"/>
          <w:b/>
          <w:bCs/>
          <w:color w:val="E70012"/>
          <w:sz w:val="20"/>
          <w:szCs w:val="20"/>
        </w:rPr>
        <w:t xml:space="preserve">POTENCIA SIN PAUSAS</w:t>
      </w:r>
    </w:p>
    <w:p>
      <w:pPr>
        <w:spacing w:after="100" w:before="800"/>
      </w:pPr>
      <w:r>
        <w:rPr>
          <w:rFonts w:ascii="Montserrat" w:cs="Montserrat" w:eastAsia="Montserrat" w:hAnsi="Montserrat"/>
          <w:b/>
          <w:bCs/>
          <w:color w:val="E70012"/>
          <w:sz w:val="24"/>
          <w:szCs w:val="24"/>
        </w:rPr>
        <w:t xml:space="preserve">DOC-PLAN-01</w:t>
      </w:r>
    </w:p>
    <w:p>
      <w:pPr>
        <w:spacing w:after="200"/>
      </w:pPr>
      <w:r>
        <w:rPr>
          <w:rFonts w:ascii="Montserrat" w:cs="Montserrat" w:eastAsia="Montserrat" w:hAnsi="Montserrat"/>
          <w:b/>
          <w:bCs/>
          <w:i/>
          <w:iCs/>
          <w:color w:val="0B0E3D"/>
          <w:sz w:val="40"/>
          <w:szCs w:val="40"/>
        </w:rPr>
        <w:t xml:space="preserve">Plan de Implementación</w:t>
      </w:r>
    </w:p>
    <w:p>
      <w:pPr>
        <w:spacing w:after="500"/>
      </w:pPr>
      <w:r>
        <w:rPr>
          <w:rFonts w:ascii="Inter" w:cs="Inter" w:eastAsia="Inter" w:hAnsi="Inter"/>
          <w:color w:val="5C6470"/>
          <w:sz w:val="24"/>
          <w:szCs w:val="24"/>
        </w:rPr>
        <w:t xml:space="preserve">Plataforma ToolBox JL — hitos, cronograma de referencia, propuesta económica y criterios de aceptación</w:t>
      </w:r>
    </w:p>
    <w:p>
      <w:pPr>
        <w:spacing w:after="40" w:before="1600"/>
      </w:pPr>
      <w:r>
        <w:rPr>
          <w:rFonts w:ascii="Inter" w:cs="Inter" w:eastAsia="Inter" w:hAnsi="Inter"/>
          <w:sz w:val="20"/>
          <w:szCs w:val="20"/>
        </w:rPr>
        <w:t xml:space="preserve">Proyecto: Sistema de Gestión, Alquiler, Venta de Herramientas y Logística Inteligente</w:t>
      </w:r>
    </w:p>
    <w:p>
      <w:pPr>
        <w:spacing w:after="40"/>
      </w:pPr>
      <w:r>
        <w:rPr>
          <w:rFonts w:ascii="Inter" w:cs="Inter" w:eastAsia="Inter" w:hAnsi="Inter"/>
          <w:sz w:val="20"/>
          <w:szCs w:val="20"/>
        </w:rPr>
        <w:t xml:space="preserve">Cliente: ToolBox JL S.A.S.</w:t>
      </w:r>
    </w:p>
    <w:p>
      <w:pPr>
        <w:spacing w:after="40"/>
      </w:pPr>
      <w:r>
        <w:rPr>
          <w:rFonts w:ascii="Inter" w:cs="Inter" w:eastAsia="Inter" w:hAnsi="Inter"/>
          <w:sz w:val="20"/>
          <w:szCs w:val="20"/>
        </w:rPr>
        <w:t xml:space="preserve">Versión del documento: 1.3</w:t>
      </w:r>
    </w:p>
    <w:p>
      <w:pPr>
        <w:spacing w:after="40"/>
      </w:pPr>
      <w:r>
        <w:rPr>
          <w:rFonts w:ascii="Inter" w:cs="Inter" w:eastAsia="Inter" w:hAnsi="Inter"/>
          <w:sz w:val="20"/>
          <w:szCs w:val="20"/>
        </w:rPr>
        <w:t xml:space="preserve">Fecha: 21 de agosto de 2026</w:t>
      </w:r>
    </w:p>
    <w:p>
      <w:pPr>
        <w:spacing w:after="40"/>
      </w:pPr>
      <w:r>
        <w:rPr>
          <w:rFonts w:ascii="Inter" w:cs="Inter" w:eastAsia="Inter" w:hAnsi="Inter"/>
          <w:sz w:val="20"/>
          <w:szCs w:val="20"/>
        </w:rPr>
        <w:t xml:space="preserve">Elaborado por: Equipo de Arquitectura de Soluciones</w:t>
      </w:r>
    </w:p>
    <w:p>
      <w:r>
        <w:br w:type="page"/>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1. Propósito y Enfoque</w:t>
      </w:r>
    </w:p>
    <w:p>
      <w:pPr>
        <w:spacing w:after="160" w:line="300"/>
      </w:pPr>
      <w:r>
        <w:rPr>
          <w:rFonts w:ascii="Inter" w:cs="Inter" w:eastAsia="Inter" w:hAnsi="Inter"/>
          <w:b w:val="false"/>
          <w:bCs w:val="false"/>
          <w:i w:val="false"/>
          <w:iCs w:val="false"/>
          <w:color w:val="1A1A1A"/>
          <w:sz w:val="21"/>
          <w:szCs w:val="21"/>
        </w:rPr>
        <w:t xml:space="preserve">Este plan traduce la fasificación definida en el Documento de Arquitectura y el PRD a una secuencia ejecutable de sprints, con entregables verificables por sprint y criterios de aceptación por fase. Se organiza en sprints de dos semanas por ser el ritmo estándar de un equipo pequeño; el número de sprints y su duración deben ajustarse a la fecha límite real del proyecto y al tamaño del equipo disponible — este documento presenta un cronograma de referencia, no una fecha comprometida.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pct" w:w="100%"/>
            <w:tcBorders>
              <w:top w:val="none" w:color="FFFFFF" w:sz="0"/>
              <w:left w:val="single" w:color="141CDB" w:sz="24"/>
              <w:bottom w:val="none" w:color="FFFFFF" w:sz="0"/>
              <w:right w:val="none" w:color="FFFFFF" w:sz="0"/>
            </w:tcBorders>
            <w:shd w:fill="F2F3F5" w:val="clear"/>
            <w:tcMar>
              <w:top w:type="dxa" w:w="140"/>
              <w:left w:type="dxa" w:w="180"/>
              <w:bottom w:type="dxa" w:w="140"/>
              <w:right w:type="dxa" w:w="180"/>
            </w:tcMar>
          </w:tcPr>
          <w:p>
            <w:pPr>
              <w:spacing w:after="60"/>
            </w:pPr>
            <w:r>
              <w:rPr>
                <w:rFonts w:ascii="Montserrat" w:cs="Montserrat" w:eastAsia="Montserrat" w:hAnsi="Montserrat"/>
                <w:b/>
                <w:bCs/>
                <w:color w:val="141CDB"/>
                <w:sz w:val="20"/>
                <w:szCs w:val="20"/>
              </w:rPr>
              <w:t xml:space="preserve">Sobre la propuesta económica</w:t>
            </w:r>
          </w:p>
          <w:p>
            <w:r>
              <w:rPr>
                <w:rFonts w:ascii="Inter" w:cs="Inter" w:eastAsia="Inter" w:hAnsi="Inter"/>
                <w:color w:val="333333"/>
                <w:sz w:val="20"/>
                <w:szCs w:val="20"/>
              </w:rPr>
              <w:t xml:space="preserve">El ERS original pondera la "Propuesta Económica y Plan de Trabajo" en un 30% de los criterios de evaluación de la licitación. Este documento cubre ambos: el plan de trabajo (hitos y cronograma, secciones 2 a 4) y la propuesta económica de referencia (sección 8).</w:t>
            </w:r>
          </w:p>
        </w:tc>
      </w:tr>
    </w:tbl>
    <w:p>
      <w:pPr>
        <w:pStyle w:val="Heading3"/>
        <w:spacing w:after="100" w:before="200"/>
      </w:pPr>
      <w:r>
        <w:rPr>
          <w:rFonts w:ascii="Montserrat" w:cs="Montserrat" w:eastAsia="Montserrat" w:hAnsi="Montserrat"/>
          <w:b/>
          <w:bCs/>
          <w:color w:val="0B0E3D"/>
          <w:sz w:val="21"/>
          <w:szCs w:val="21"/>
        </w:rPr>
        <w:t xml:space="preserve">1.1 Metodología de Desarrollo: Spec-Driven Development (SDD)</w:t>
      </w:r>
    </w:p>
    <w:p>
      <w:pPr>
        <w:spacing w:after="160" w:line="300"/>
      </w:pPr>
      <w:r>
        <w:rPr>
          <w:rFonts w:ascii="Inter" w:cs="Inter" w:eastAsia="Inter" w:hAnsi="Inter"/>
          <w:b w:val="false"/>
          <w:bCs w:val="false"/>
          <w:i w:val="false"/>
          <w:iCs w:val="false"/>
          <w:color w:val="1A1A1A"/>
          <w:sz w:val="21"/>
          <w:szCs w:val="21"/>
        </w:rPr>
        <w:t xml:space="preserve">La implementación se ejecuta con Spec-Driven Development (SDD), usando Claude Code como agente de codificación (ver Documento de Arquitectura §6.1 para la justificación arquitectónica de esta decisión). En la práctica, esto cambia el flujo de trabajo dentro de cada sprint de este plan de la siguiente manera:</w:t>
      </w:r>
    </w:p>
    <w:p>
      <w:pPr>
        <w:pStyle w:val="ListParagraph"/>
        <w:numPr>
          <w:ilvl w:val="0"/>
          <w:numId w:val="1"/>
        </w:numPr>
        <w:spacing w:after="90"/>
      </w:pPr>
      <w:r>
        <w:rPr>
          <w:rFonts w:ascii="Inter" w:cs="Inter" w:eastAsia="Inter" w:hAnsi="Inter"/>
          <w:b/>
          <w:bCs/>
          <w:color w:val="0B0E3D"/>
          <w:sz w:val="21"/>
          <w:szCs w:val="21"/>
        </w:rPr>
        <w:t xml:space="preserve">Spec-first sobre código-first: </w:t>
      </w:r>
      <w:r>
        <w:rPr>
          <w:rFonts w:ascii="Inter" w:cs="Inter" w:eastAsia="Inter" w:hAnsi="Inter"/>
          <w:sz w:val="21"/>
          <w:szCs w:val="21"/>
        </w:rPr>
        <w:t xml:space="preserve">Antes de implementar un endpoint, este debe existir en openapi.yaml con su método, ruta, rol requerido y esquema de request/response. Antes de implementar una historia de usuario, su criterio de aceptación debe existir como escenario Gherkin en features/*.feature. Ningún sprint comienza a codificar un módulo cuyo contrato aún no está especificado.</w:t>
      </w:r>
    </w:p>
    <w:p>
      <w:pPr>
        <w:pStyle w:val="ListParagraph"/>
        <w:numPr>
          <w:ilvl w:val="0"/>
          <w:numId w:val="1"/>
        </w:numPr>
        <w:spacing w:after="90"/>
      </w:pPr>
      <w:r>
        <w:rPr>
          <w:rFonts w:ascii="Inter" w:cs="Inter" w:eastAsia="Inter" w:hAnsi="Inter"/>
          <w:b/>
          <w:bCs/>
          <w:color w:val="0B0E3D"/>
          <w:sz w:val="21"/>
          <w:szCs w:val="21"/>
        </w:rPr>
        <w:t xml:space="preserve">Claude Code implementa contra la especificación: </w:t>
      </w:r>
      <w:r>
        <w:rPr>
          <w:rFonts w:ascii="Inter" w:cs="Inter" w:eastAsia="Inter" w:hAnsi="Inter"/>
          <w:sz w:val="21"/>
          <w:szCs w:val="21"/>
        </w:rPr>
        <w:t xml:space="preserve">El agente recibe openapi.yaml y el/los archivo(s) .feature correspondientes al alcance del sprint como contexto de entrada, y genera el controlador, DTOs, guards de rol y pruebas que satisfacen ambos artefactos.</w:t>
      </w:r>
    </w:p>
    <w:p>
      <w:pPr>
        <w:pStyle w:val="ListParagraph"/>
        <w:numPr>
          <w:ilvl w:val="0"/>
          <w:numId w:val="1"/>
        </w:numPr>
        <w:spacing w:after="90"/>
      </w:pPr>
      <w:r>
        <w:rPr>
          <w:rFonts w:ascii="Inter" w:cs="Inter" w:eastAsia="Inter" w:hAnsi="Inter"/>
          <w:b/>
          <w:bCs/>
          <w:color w:val="0B0E3D"/>
          <w:sz w:val="21"/>
          <w:szCs w:val="21"/>
        </w:rPr>
        <w:t xml:space="preserve">Validación por conformidad, no por inspección manual: </w:t>
      </w:r>
      <w:r>
        <w:rPr>
          <w:rFonts w:ascii="Inter" w:cs="Inter" w:eastAsia="Inter" w:hAnsi="Inter"/>
          <w:sz w:val="21"/>
          <w:szCs w:val="21"/>
        </w:rPr>
        <w:t xml:space="preserve">Un endpoint se considera terminado cuando su implementación es conforme al contrato openapi.yaml (validable con un linter tipo Spectral) y cuando los escenarios Gherkin relevantes pasan como pruebas automatizadas (p. ej. con un runner Cucumber/Playwright-BDD), no cuando "se ve bien" en una revisión manual.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pct" w:w="100%"/>
            <w:tcBorders>
              <w:top w:val="none" w:color="FFFFFF" w:sz="0"/>
              <w:left w:val="single" w:color="141CDB" w:sz="24"/>
              <w:bottom w:val="none" w:color="FFFFFF" w:sz="0"/>
              <w:right w:val="none" w:color="FFFFFF" w:sz="0"/>
            </w:tcBorders>
            <w:shd w:fill="F2F3F5" w:val="clear"/>
            <w:tcMar>
              <w:top w:type="dxa" w:w="140"/>
              <w:left w:type="dxa" w:w="180"/>
              <w:bottom w:type="dxa" w:w="140"/>
              <w:right w:type="dxa" w:w="180"/>
            </w:tcMar>
          </w:tcPr>
          <w:p>
            <w:pPr>
              <w:spacing w:after="60"/>
            </w:pPr>
            <w:r>
              <w:rPr>
                <w:rFonts w:ascii="Montserrat" w:cs="Montserrat" w:eastAsia="Montserrat" w:hAnsi="Montserrat"/>
                <w:b/>
                <w:bCs/>
                <w:color w:val="141CDB"/>
                <w:sz w:val="20"/>
                <w:szCs w:val="20"/>
              </w:rPr>
              <w:t xml:space="preserve">Definition of Done ampliada por SDD</w:t>
            </w:r>
          </w:p>
          <w:p>
            <w:r>
              <w:rPr>
                <w:rFonts w:ascii="Inter" w:cs="Inter" w:eastAsia="Inter" w:hAnsi="Inter"/>
                <w:color w:val="333333"/>
                <w:sz w:val="20"/>
                <w:szCs w:val="20"/>
              </w:rPr>
              <w:t xml:space="preserve">A la Definition of Done de cada fase (secciones 3 y 4) se añade, para cada sprint: los endpoints entregados están declarados en openapi.yaml antes del merge, y los escenarios Gherkin de las historias cubiertas por el sprint pasan en el pipeline de CI/CD. Esto reemplaza la verificación manual de las columnas de "Criterios de Aceptación" del PRD como mecanismo de control de calidad, sin invalidar el PRD como documento de producto.</w:t>
            </w:r>
          </w:p>
        </w:tc>
      </w:tr>
    </w:tbl>
    <w:p>
      <w:pPr>
        <w:spacing w:after="160" w:line="300"/>
      </w:pPr>
      <w:r>
        <w:rPr>
          <w:rFonts w:ascii="Inter" w:cs="Inter" w:eastAsia="Inter" w:hAnsi="Inter"/>
          <w:b w:val="false"/>
          <w:bCs w:val="false"/>
          <w:i w:val="false"/>
          <w:iCs w:val="false"/>
          <w:color w:val="1A1A1A"/>
          <w:sz w:val="21"/>
          <w:szCs w:val="21"/>
        </w:rPr>
        <w:t xml:space="preserve">Este cambio metodológico no altera la duración ni el orden de los sprints definidos en las secciones 3 y 4; añade una disciplina de especificación previa y una prueba de conformidad automatizable dentro de cada sprint ya planeado.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pct" w:w="100%"/>
            <w:tcBorders>
              <w:top w:val="none" w:color="FFFFFF" w:sz="0"/>
              <w:left w:val="single" w:color="141CDB" w:sz="24"/>
              <w:bottom w:val="none" w:color="FFFFFF" w:sz="0"/>
              <w:right w:val="none" w:color="FFFFFF" w:sz="0"/>
            </w:tcBorders>
            <w:shd w:fill="F2F3F5" w:val="clear"/>
            <w:tcMar>
              <w:top w:type="dxa" w:w="140"/>
              <w:left w:type="dxa" w:w="180"/>
              <w:bottom w:type="dxa" w:w="140"/>
              <w:right w:type="dxa" w:w="180"/>
            </w:tcMar>
          </w:tcPr>
          <w:p>
            <w:pPr>
              <w:spacing w:after="60"/>
            </w:pPr>
            <w:r>
              <w:rPr>
                <w:rFonts w:ascii="Montserrat" w:cs="Montserrat" w:eastAsia="Montserrat" w:hAnsi="Montserrat"/>
                <w:b/>
                <w:bCs/>
                <w:color w:val="141CDB"/>
                <w:sz w:val="20"/>
                <w:szCs w:val="20"/>
              </w:rPr>
              <w:t xml:space="preserve">Dos fuentes de gasto distintas</w:t>
            </w:r>
          </w:p>
          <w:p>
            <w:r>
              <w:rPr>
                <w:rFonts w:ascii="Inter" w:cs="Inter" w:eastAsia="Inter" w:hAnsi="Inter"/>
                <w:color w:val="333333"/>
                <w:sz w:val="20"/>
                <w:szCs w:val="20"/>
              </w:rPr>
              <w:t xml:space="preserve">El consumo de Claude Code como agente de codificación durante la implementación (este flujo SDD) se financia con un plan de suscripción propio del equipo. Es independiente del saldo de la API Key de Anthropic usada en tiempo de ejecución por los Agentes 2 y 3 (ver §8.4) — no deben mezclarse en el seguimiento de presupuesto ni asumirse como una sola partida de gasto.</w:t>
            </w:r>
          </w:p>
        </w:tc>
      </w:tr>
    </w:tbl>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2. Roadmap General</w:t>
      </w:r>
    </w:p>
    <w:p>
      <w:pPr>
        <w:spacing w:after="120" w:before="200"/>
        <w:jc w:val="center"/>
      </w:pPr>
      <w:r>
        <w:drawing>
          <wp:inline distT="0" distB="0" distL="0" distR="0">
            <wp:extent cx="6096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714375"/>
                    </a:xfrm>
                    <a:prstGeom prst="rect">
                      <a:avLst/>
                    </a:prstGeom>
                  </pic:spPr>
                </pic:pic>
              </a:graphicData>
            </a:graphic>
          </wp:inline>
        </w:drawing>
      </w:r>
    </w:p>
    <w:p>
      <w:pPr>
        <w:spacing w:after="260"/>
        <w:jc w:val="center"/>
      </w:pPr>
      <w:r>
        <w:rPr>
          <w:rFonts w:ascii="Inter" w:cs="Inter" w:eastAsia="Inter" w:hAnsi="Inter"/>
          <w:i/>
          <w:iCs/>
          <w:color w:val="5C6470"/>
          <w:sz w:val="18"/>
          <w:szCs w:val="18"/>
        </w:rPr>
        <w:t xml:space="preserve">Figura 1. Roadmap de implementación por sprints, Fase 1 (MVP) y Fase 2 (Agentes de IA).</w:t>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3. Hitos y Entregables — Fase 1 (MVP)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2700"/>
        <w:gridCol w:w="3600"/>
        <w:gridCol w:w="1620"/>
      </w:tblGrid>
      <w:tr>
        <w:trPr>
          <w:tblHeader/>
        </w:trPr>
        <w:tc>
          <w:tcPr>
            <w:tcW w:type="pct" w:w="1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Sprint</w:t>
            </w:r>
          </w:p>
        </w:tc>
        <w:tc>
          <w:tcPr>
            <w:tcW w:type="pct" w:w="3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Objetivo</w:t>
            </w:r>
          </w:p>
        </w:tc>
        <w:tc>
          <w:tcPr>
            <w:tcW w:type="pct" w:w="4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Entregables</w:t>
            </w:r>
          </w:p>
        </w:tc>
        <w:tc>
          <w:tcPr>
            <w:tcW w:type="pct" w:w="18%"/>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Depende de</w:t>
            </w:r>
          </w:p>
        </w:tc>
      </w:tr>
      <w:tr>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0</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Cimientos técnicos</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Monorepo configurado, CI/CD (lint+test+deploy) a Vercel/Railway, proyecto Supabase creado, AuthModule base (correo/contraseña + Google OAuth), design tokens de marca cargados y kickoff del system design en Stitch.</w:t>
            </w:r>
          </w:p>
        </w:tc>
        <w:tc>
          <w:tcPr>
            <w:tcW w:type="pct" w:w="1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w:t>
            </w:r>
          </w:p>
        </w:tc>
      </w:tr>
      <w:tr>
        <w:tc>
          <w:tcPr>
            <w:tcW w:type="pct" w:w="1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1</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Catálogo e Inventario QR</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CatalogModule + InventoryModule: RF-1.1 a RF-1.4 completos; generación y escaneo de QR funcional en la PWA.</w:t>
            </w:r>
          </w:p>
        </w:tc>
        <w:tc>
          <w:tcPr>
            <w:tcW w:type="pct" w:w="1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0</w:t>
            </w:r>
          </w:p>
        </w:tc>
      </w:tr>
      <w:tr>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2</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Cotización y Motor de Alquiler/Venta</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PricingModule: RF-2.1; flujo de creación de orden (alquiler y venta) de punta a punta en el Portal Cliente.</w:t>
            </w:r>
          </w:p>
        </w:tc>
        <w:tc>
          <w:tcPr>
            <w:tcW w:type="pct" w:w="1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1</w:t>
            </w:r>
          </w:p>
        </w:tc>
      </w:tr>
      <w:tr>
        <w:tc>
          <w:tcPr>
            <w:tcW w:type="pct" w:w="1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3</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Pagos y Depósito de Garantía</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PaymentsModule integrado con Wompi (sandbox): RF-2.2, RF-2.3, RF-2.4.</w:t>
            </w:r>
          </w:p>
        </w:tc>
        <w:tc>
          <w:tcPr>
            <w:tcW w:type="pct" w:w="1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2</w:t>
            </w:r>
          </w:p>
        </w:tc>
      </w:tr>
      <w:tr>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4</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Logística y Flota (asignación manual)</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FleetModule + LogisticsModule: RF-3.1, RF-3.2, RF-3.3; panel de seguimiento en tiempo real (Supabase Realtime).</w:t>
            </w:r>
          </w:p>
        </w:tc>
        <w:tc>
          <w:tcPr>
            <w:tcW w:type="pct" w:w="1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2</w:t>
            </w:r>
          </w:p>
        </w:tc>
      </w:tr>
      <w:tr>
        <w:tc>
          <w:tcPr>
            <w:tcW w:type="pct" w:w="1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5</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Devoluciones, Inspección y Mora</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InspectionModule + MoraCalculatorJob: RF-4.1, RF-4.2, RF-4.3.</w:t>
            </w:r>
          </w:p>
        </w:tc>
        <w:tc>
          <w:tcPr>
            <w:tcW w:type="pct" w:w="1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3, Sprint 4</w:t>
            </w:r>
          </w:p>
        </w:tc>
      </w:tr>
      <w:tr>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6</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KPIs base y Hardening</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AnalyticsModule (ingresos totales), revisión de seguridad (RBAC, RLS, Ley 1581), pruebas end-to-end del flujo de alquiler completo (AppFlow §2), corrección de deuda técnica del MVP.</w:t>
            </w:r>
          </w:p>
        </w:tc>
        <w:tc>
          <w:tcPr>
            <w:tcW w:type="pct" w:w="1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pct" w:w="100%"/>
            <w:tcBorders>
              <w:top w:val="none" w:color="FFFFFF" w:sz="0"/>
              <w:left w:val="single" w:color="141CDB" w:sz="24"/>
              <w:bottom w:val="none" w:color="FFFFFF" w:sz="0"/>
              <w:right w:val="none" w:color="FFFFFF" w:sz="0"/>
            </w:tcBorders>
            <w:shd w:fill="F2F3F5" w:val="clear"/>
            <w:tcMar>
              <w:top w:type="dxa" w:w="140"/>
              <w:left w:type="dxa" w:w="180"/>
              <w:bottom w:type="dxa" w:w="140"/>
              <w:right w:type="dxa" w:w="180"/>
            </w:tcMar>
          </w:tcPr>
          <w:p>
            <w:pPr>
              <w:spacing w:after="60"/>
            </w:pPr>
            <w:r>
              <w:rPr>
                <w:rFonts w:ascii="Montserrat" w:cs="Montserrat" w:eastAsia="Montserrat" w:hAnsi="Montserrat"/>
                <w:b/>
                <w:bCs/>
                <w:color w:val="141CDB"/>
                <w:sz w:val="20"/>
                <w:szCs w:val="20"/>
              </w:rPr>
              <w:t xml:space="preserve">Definition of Done — Fase 1</w:t>
            </w:r>
          </w:p>
          <w:p>
            <w:r>
              <w:rPr>
                <w:rFonts w:ascii="Inter" w:cs="Inter" w:eastAsia="Inter" w:hAnsi="Inter"/>
                <w:color w:val="333333"/>
                <w:sz w:val="20"/>
                <w:szCs w:val="20"/>
              </w:rPr>
              <w:t xml:space="preserve">Un cliente puede cotizar, pagar (sandbox), recibir, usar y devolver una herramienta de punta a punta sin intervención manual del equipo de desarrollo; el Gerente puede ver ingresos totales en el dashboard; el Almacenista/Repartidor puede operar la PWA en modo offline y sincronizar al reconectar.</w:t>
            </w:r>
          </w:p>
        </w:tc>
      </w:tr>
    </w:tbl>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4. Hitos y Entregables — Fase 2 (Agentes de 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2700"/>
        <w:gridCol w:w="3600"/>
        <w:gridCol w:w="1620"/>
      </w:tblGrid>
      <w:tr>
        <w:trPr>
          <w:tblHeader/>
        </w:trPr>
        <w:tc>
          <w:tcPr>
            <w:tcW w:type="pct" w:w="1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Sprint</w:t>
            </w:r>
          </w:p>
        </w:tc>
        <w:tc>
          <w:tcPr>
            <w:tcW w:type="pct" w:w="3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Objetivo</w:t>
            </w:r>
          </w:p>
        </w:tc>
        <w:tc>
          <w:tcPr>
            <w:tcW w:type="pct" w:w="4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Entregables</w:t>
            </w:r>
          </w:p>
        </w:tc>
        <w:tc>
          <w:tcPr>
            <w:tcW w:type="pct" w:w="18%"/>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Depende de</w:t>
            </w:r>
          </w:p>
        </w:tc>
      </w:tr>
      <w:tr>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7</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Agente 1 — Ruteo Inteligente</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Job de batch nocturno funcional, tool calling sobre pending-orders/assign-routes, validado contra el volumen de pedidos real del MVP.</w:t>
            </w:r>
          </w:p>
        </w:tc>
        <w:tc>
          <w:tcPr>
            <w:tcW w:type="pct" w:w="1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1 completa</w:t>
            </w:r>
          </w:p>
        </w:tc>
      </w:tr>
      <w:tr>
        <w:tc>
          <w:tcPr>
            <w:tcW w:type="pct" w:w="1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8</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Agente 2 — WhatsApp Conversacional</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Integración WhatsApp Cloud API, pipeline Deepgram+ElevenLabs para notas de voz, flujo de recordatorio y reprogramación (TRD §4.2) funcionando en un entorno de staging con números de prueba.</w:t>
            </w:r>
          </w:p>
        </w:tc>
        <w:tc>
          <w:tcPr>
            <w:tcW w:type="pct" w:w="1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7</w:t>
            </w:r>
          </w:p>
        </w:tc>
      </w:tr>
      <w:tr>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9</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Agente 3 — Conserje de Voz Web</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Widget LiveKit integrado en el Portal Cliente, pipeline de voz streaming, tool calling sobre catálogo y carrito (TRD §4.3), latencia medida contra el objetivo de 2.5s (RNF-2).</w:t>
            </w:r>
          </w:p>
        </w:tc>
        <w:tc>
          <w:tcPr>
            <w:tcW w:type="pct" w:w="1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6</w:t>
            </w:r>
          </w:p>
        </w:tc>
      </w:tr>
      <w:tr>
        <w:tc>
          <w:tcPr>
            <w:tcW w:type="pct" w:w="1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10</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BI avanzado + integración Stitch/MCP</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AnalyticsModule extendido (ROI, utilización, productividad), conexión del system design de Stitch al proyecto vía MCP, reemplazo de wireframes por el diseño visual final donde ya esté disponible.</w:t>
            </w:r>
          </w:p>
        </w:tc>
        <w:tc>
          <w:tcPr>
            <w:tcW w:type="pct" w:w="1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6, Sprint 9</w:t>
            </w:r>
          </w:p>
        </w:tc>
      </w:tr>
      <w:tr>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11</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QA de agentes y cierre</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Golden set de conversaciones para los 3 agentes (TRD §6), pruebas de carga sobre RNF-1/RNF-2, corrección de hallazgos, documentación de operación entregada.</w:t>
            </w:r>
          </w:p>
        </w:tc>
        <w:tc>
          <w:tcPr>
            <w:tcW w:type="pct" w:w="1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8, Sprint 9, Sprint 10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pct" w:w="100%"/>
            <w:tcBorders>
              <w:top w:val="none" w:color="FFFFFF" w:sz="0"/>
              <w:left w:val="single" w:color="141CDB" w:sz="24"/>
              <w:bottom w:val="none" w:color="FFFFFF" w:sz="0"/>
              <w:right w:val="none" w:color="FFFFFF" w:sz="0"/>
            </w:tcBorders>
            <w:shd w:fill="F2F3F5" w:val="clear"/>
            <w:tcMar>
              <w:top w:type="dxa" w:w="140"/>
              <w:left w:type="dxa" w:w="180"/>
              <w:bottom w:type="dxa" w:w="140"/>
              <w:right w:type="dxa" w:w="180"/>
            </w:tcMar>
          </w:tcPr>
          <w:p>
            <w:pPr>
              <w:spacing w:after="60"/>
            </w:pPr>
            <w:r>
              <w:rPr>
                <w:rFonts w:ascii="Montserrat" w:cs="Montserrat" w:eastAsia="Montserrat" w:hAnsi="Montserrat"/>
                <w:b/>
                <w:bCs/>
                <w:color w:val="141CDB"/>
                <w:sz w:val="20"/>
                <w:szCs w:val="20"/>
              </w:rPr>
              <w:t xml:space="preserve">Definition of Done — Fase 2</w:t>
            </w:r>
          </w:p>
          <w:p>
            <w:r>
              <w:rPr>
                <w:rFonts w:ascii="Inter" w:cs="Inter" w:eastAsia="Inter" w:hAnsi="Inter"/>
                <w:color w:val="333333"/>
                <w:sz w:val="20"/>
                <w:szCs w:val="20"/>
              </w:rPr>
              <w:t xml:space="preserve">Los 3 agentes operan sobre datos reales del sistema (no simulados); el Agente 1 genera rutas verificablemente respetando capacidad de vehículo; el Agente 2 gestiona una reprogramación completa por voz sin intervención humana; el Agente 3 agrega productos al carrito con una tasa de acierto aceptable sobre el golden set de pruebas.</w:t>
            </w:r>
          </w:p>
        </w:tc>
      </w:tr>
    </w:tbl>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5. Equipo y Roles Recomendados</w:t>
      </w:r>
    </w:p>
    <w:p>
      <w:pPr>
        <w:spacing w:after="160" w:line="300"/>
      </w:pPr>
      <w:r>
        <w:rPr>
          <w:rFonts w:ascii="Inter" w:cs="Inter" w:eastAsia="Inter" w:hAnsi="Inter"/>
          <w:b w:val="false"/>
          <w:bCs w:val="false"/>
          <w:i w:val="false"/>
          <w:iCs w:val="false"/>
          <w:color w:val="1A1A1A"/>
          <w:sz w:val="21"/>
          <w:szCs w:val="21"/>
        </w:rPr>
        <w:t xml:space="preserve">Los roles pueden combinarse en un equipo reducido (frecuente en un proyecto de portafolio/académico); se listan por responsabilidad, no como headcount obligatorio.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860"/>
        <w:gridCol w:w="1800"/>
      </w:tblGrid>
      <w:tr>
        <w:trPr>
          <w:tblHeader/>
        </w:trPr>
        <w:tc>
          <w:tcPr>
            <w:tcW w:type="pct" w:w="26%"/>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Rol</w:t>
            </w:r>
          </w:p>
        </w:tc>
        <w:tc>
          <w:tcPr>
            <w:tcW w:type="pct" w:w="54%"/>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Responsabilidad principal</w:t>
            </w:r>
          </w:p>
        </w:tc>
        <w:tc>
          <w:tcPr>
            <w:tcW w:type="pct" w:w="2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Dedicación sugerida</w:t>
            </w:r>
          </w:p>
        </w:tc>
      </w:tr>
      <w:tr>
        <w:tc>
          <w:tcPr>
            <w:tcW w:type="pct" w:w="2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Arquitecto / Tech Lead</w:t>
            </w:r>
          </w:p>
        </w:tc>
        <w:tc>
          <w:tcPr>
            <w:tcW w:type="pct" w:w="5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Decisiones de arquitectura, revisión de código transversal, mantenimiento de este paquete de documentación.</w:t>
            </w:r>
          </w:p>
        </w:tc>
        <w:tc>
          <w:tcPr>
            <w:tcW w:type="pct" w:w="2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Todo el proyecto</w:t>
            </w:r>
          </w:p>
        </w:tc>
      </w:tr>
      <w:tr>
        <w:tc>
          <w:tcPr>
            <w:tcW w:type="pct" w:w="2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Backend Developer (NestJS)</w:t>
            </w:r>
          </w:p>
        </w:tc>
        <w:tc>
          <w:tcPr>
            <w:tcW w:type="pct" w:w="5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Módulos de dominio, integraciones (Wompi, Supabase), API REST.</w:t>
            </w:r>
          </w:p>
        </w:tc>
        <w:tc>
          <w:tcPr>
            <w:tcW w:type="pct" w:w="2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1 y 2</w:t>
            </w:r>
          </w:p>
        </w:tc>
      </w:tr>
      <w:tr>
        <w:tc>
          <w:tcPr>
            <w:tcW w:type="pct" w:w="2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Frontend Developer (Angular)</w:t>
            </w:r>
          </w:p>
        </w:tc>
        <w:tc>
          <w:tcPr>
            <w:tcW w:type="pct" w:w="5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Shell + micro-frontends, consumo de API, PWA offline-first.</w:t>
            </w:r>
          </w:p>
        </w:tc>
        <w:tc>
          <w:tcPr>
            <w:tcW w:type="pct" w:w="2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1 y 2</w:t>
            </w:r>
          </w:p>
        </w:tc>
      </w:tr>
      <w:tr>
        <w:tc>
          <w:tcPr>
            <w:tcW w:type="pct" w:w="2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Ingeniero de Agentes de IA</w:t>
            </w:r>
          </w:p>
        </w:tc>
        <w:tc>
          <w:tcPr>
            <w:tcW w:type="pct" w:w="5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Orquestación Claude/Vercel AI SDK, pipeline LiveKit/Deepgram/ElevenLabs, tool calling.</w:t>
            </w:r>
          </w:p>
        </w:tc>
        <w:tc>
          <w:tcPr>
            <w:tcW w:type="pct" w:w="2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2 (desde Sprint 6)</w:t>
            </w:r>
          </w:p>
        </w:tc>
      </w:tr>
      <w:tr>
        <w:tc>
          <w:tcPr>
            <w:tcW w:type="pct" w:w="2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QA / Testing</w:t>
            </w:r>
          </w:p>
        </w:tc>
        <w:tc>
          <w:tcPr>
            <w:tcW w:type="pct" w:w="5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Casos de prueba end-to-end, golden set de agentes, pruebas de carga.</w:t>
            </w:r>
          </w:p>
        </w:tc>
        <w:tc>
          <w:tcPr>
            <w:tcW w:type="pct" w:w="2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6 en adelante, creciente</w:t>
            </w:r>
          </w:p>
        </w:tc>
      </w:tr>
    </w:tbl>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6. Riesgos de Implementación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260"/>
        <w:gridCol w:w="4860"/>
      </w:tblGrid>
      <w:tr>
        <w:trPr>
          <w:tblHeader/>
        </w:trPr>
        <w:tc>
          <w:tcPr>
            <w:tcW w:type="pct" w:w="3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Riesgo</w:t>
            </w:r>
          </w:p>
        </w:tc>
        <w:tc>
          <w:tcPr>
            <w:tcW w:type="pct" w:w="14%"/>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Probabilidad</w:t>
            </w:r>
          </w:p>
        </w:tc>
        <w:tc>
          <w:tcPr>
            <w:tcW w:type="pct" w:w="54%"/>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Mitigación</w:t>
            </w:r>
          </w:p>
        </w:tc>
      </w:tr>
      <w:tr>
        <w:tc>
          <w:tcPr>
            <w:tcW w:type="pct" w:w="3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Curva de aprendizaje de LiveKit Agents / Vercel AI SDK si el equipo no los ha usado antes</w:t>
            </w:r>
          </w:p>
        </w:tc>
        <w:tc>
          <w:tcPr>
            <w:tcW w:type="pct" w:w="1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Media</w:t>
            </w:r>
          </w:p>
        </w:tc>
        <w:tc>
          <w:tcPr>
            <w:tcW w:type="pct" w:w="5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Time-boxed spike técnico al inicio de Sprint 7/9 antes de comprometer el resto del sprint; documentación de referencia en el TRD §4.</w:t>
            </w:r>
          </w:p>
        </w:tc>
      </w:tr>
      <w:tr>
        <w:tc>
          <w:tcPr>
            <w:tcW w:type="pct" w:w="3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Credenciales sandbox de Wompi/WhatsApp/LiveKit no disponibles a tiempo</w:t>
            </w:r>
          </w:p>
        </w:tc>
        <w:tc>
          <w:tcPr>
            <w:tcW w:type="pct" w:w="1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Media</w:t>
            </w:r>
          </w:p>
        </w:tc>
        <w:tc>
          <w:tcPr>
            <w:tcW w:type="pct" w:w="5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Solicitar acceso a todas las cuentas de prueba en Sprint 0, no cuando el sprint que las necesita ya inició.</w:t>
            </w:r>
          </w:p>
        </w:tc>
      </w:tr>
      <w:tr>
        <w:tc>
          <w:tcPr>
            <w:tcW w:type="pct" w:w="3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Alcance de Fase 1 se extiende por cambios de requisitos del cliente</w:t>
            </w:r>
          </w:p>
        </w:tc>
        <w:tc>
          <w:tcPr>
            <w:tcW w:type="pct" w:w="1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Media</w:t>
            </w:r>
          </w:p>
        </w:tc>
        <w:tc>
          <w:tcPr>
            <w:tcW w:type="pct" w:w="5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Cambios nuevos entran como backlog de Fase 2 o Fase 3, no se insertan a mitad de un sprint de Fase 1 ya planeado.</w:t>
            </w:r>
          </w:p>
        </w:tc>
      </w:tr>
      <w:tr>
        <w:tc>
          <w:tcPr>
            <w:tcW w:type="pct" w:w="3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Latencia real de los agentes de voz supera el objetivo de 2.5s en producción</w:t>
            </w:r>
          </w:p>
        </w:tc>
        <w:tc>
          <w:tcPr>
            <w:tcW w:type="pct" w:w="1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Media</w:t>
            </w:r>
          </w:p>
        </w:tc>
        <w:tc>
          <w:tcPr>
            <w:tcW w:type="pct" w:w="5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Sprint 9 y 11 incluyen medición explícita; degradar a modo texto como fallback está previsto en el TRD §4.3.</w:t>
            </w:r>
          </w:p>
        </w:tc>
      </w:tr>
      <w:tr>
        <w:tc>
          <w:tcPr>
            <w:tcW w:type="pct" w:w="3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Equipo reducido no alcanza a cubrir todos los roles en paralelo</w:t>
            </w:r>
          </w:p>
        </w:tc>
        <w:tc>
          <w:tcPr>
            <w:tcW w:type="pct" w:w="1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 (proyecto de portafolio)</w:t>
            </w:r>
          </w:p>
        </w:tc>
        <w:tc>
          <w:tcPr>
            <w:tcW w:type="pct" w:w="5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Priorizar estrictamente el orden de sprints propuesto; Fase 2 completa es prescindible para una primera entrega si el tiempo se agota — el MVP de Fase 1 es un producto demostrable por sí solo.</w:t>
            </w:r>
          </w:p>
        </w:tc>
      </w:tr>
    </w:tbl>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7. Trazabilidad con los Criterios de Evaluación del 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1260"/>
        <w:gridCol w:w="5040"/>
      </w:tblGrid>
      <w:tr>
        <w:trPr>
          <w:tblHeader/>
        </w:trPr>
        <w:tc>
          <w:tcPr>
            <w:tcW w:type="pct" w:w="3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Criterio del ERS</w:t>
            </w:r>
          </w:p>
        </w:tc>
        <w:tc>
          <w:tcPr>
            <w:tcW w:type="pct" w:w="14%"/>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Ponderación</w:t>
            </w:r>
          </w:p>
        </w:tc>
        <w:tc>
          <w:tcPr>
            <w:tcW w:type="pct" w:w="56%"/>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Dónde se cubre en este paquete</w:t>
            </w:r>
          </w:p>
        </w:tc>
      </w:tr>
      <w:tr>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Arquitectura de Software y Diseño DDD</w:t>
            </w:r>
          </w:p>
        </w:tc>
        <w:tc>
          <w:tcPr>
            <w:tcW w:type="pct" w:w="1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25%</w:t>
            </w:r>
          </w:p>
        </w:tc>
        <w:tc>
          <w:tcPr>
            <w:tcW w:type="pct" w:w="5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Documento de Arquitectura (completo); Esquema de Backend §2 (Clean Architecture por capas).</w:t>
            </w:r>
          </w:p>
        </w:tc>
      </w:tr>
      <w:tr>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Capacidad de Integración de Agentes de IA</w:t>
            </w:r>
          </w:p>
        </w:tc>
        <w:tc>
          <w:tcPr>
            <w:tcW w:type="pct" w:w="1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25%</w:t>
            </w:r>
          </w:p>
        </w:tc>
        <w:tc>
          <w:tcPr>
            <w:tcW w:type="pct" w:w="5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TRD §4 (especificación técnica de los 3 agentes); AppFlow §6–8 (flujos operativos de cada agente).</w:t>
            </w:r>
          </w:p>
        </w:tc>
      </w:tr>
      <w:tr>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Propuesta Económica y Plan de Trabajo</w:t>
            </w:r>
          </w:p>
        </w:tc>
        <w:tc>
          <w:tcPr>
            <w:tcW w:type="pct" w:w="1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30%</w:t>
            </w:r>
          </w:p>
        </w:tc>
        <w:tc>
          <w:tcPr>
            <w:tcW w:type="pct" w:w="5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Plan de trabajo: secciones 2 a 4. Propuesta económica de referencia: sección 8.</w:t>
            </w:r>
          </w:p>
        </w:tc>
      </w:tr>
      <w:tr>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Experiencia del Equipo y Casos de Éxito</w:t>
            </w:r>
          </w:p>
        </w:tc>
        <w:tc>
          <w:tcPr>
            <w:tcW w:type="pct" w:w="1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20%</w:t>
            </w:r>
          </w:p>
        </w:tc>
        <w:tc>
          <w:tcPr>
            <w:tcW w:type="pct" w:w="5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No aplica a la documentación técnica — se presenta aparte como parte de la propuesta al cliente.</w:t>
            </w:r>
          </w:p>
        </w:tc>
      </w:tr>
    </w:tbl>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8. Propuesta Económica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pct" w:w="100%"/>
            <w:tcBorders>
              <w:top w:val="none" w:color="FFFFFF" w:sz="0"/>
              <w:left w:val="single" w:color="E70012" w:sz="24"/>
              <w:bottom w:val="none" w:color="FFFFFF" w:sz="0"/>
              <w:right w:val="none" w:color="FFFFFF" w:sz="0"/>
            </w:tcBorders>
            <w:shd w:fill="F2F3F5" w:val="clear"/>
            <w:tcMar>
              <w:top w:type="dxa" w:w="140"/>
              <w:left w:type="dxa" w:w="180"/>
              <w:bottom w:type="dxa" w:w="140"/>
              <w:right w:type="dxa" w:w="180"/>
            </w:tcMar>
          </w:tcPr>
          <w:p>
            <w:pPr>
              <w:spacing w:after="60"/>
            </w:pPr>
            <w:r>
              <w:rPr>
                <w:rFonts w:ascii="Montserrat" w:cs="Montserrat" w:eastAsia="Montserrat" w:hAnsi="Montserrat"/>
                <w:b/>
                <w:bCs/>
                <w:color w:val="E70012"/>
                <w:sz w:val="20"/>
                <w:szCs w:val="20"/>
              </w:rPr>
              <w:t xml:space="preserve">Naturaleza de esta estimación</w:t>
            </w:r>
          </w:p>
          <w:p>
            <w:r>
              <w:rPr>
                <w:rFonts w:ascii="Inter" w:cs="Inter" w:eastAsia="Inter" w:hAnsi="Inter"/>
                <w:color w:val="333333"/>
                <w:sz w:val="20"/>
                <w:szCs w:val="20"/>
              </w:rPr>
              <w:t xml:space="preserve">Esta es una estimación de referencia para dimensionar el proyecto, no una cotización formal ni un compromiso contractual. Las tarifas diarias son ilustrativas del mercado colombiano de desarrollo de software para 2026 y deben validarse con el equipo real, su modalidad de contratación (nómina, prestación de servicios, freelance) y los proveedores de infraestructura antes de comprometerse económicamente. Esta estimación no incluye impuestos, prestaciones sociales, ni márgenes comerciales — cada organización debe aplicarlos según su propia estructura de costos.</w:t>
            </w:r>
          </w:p>
        </w:tc>
      </w:tr>
    </w:tbl>
    <w:p>
      <w:pPr>
        <w:pStyle w:val="Heading3"/>
        <w:spacing w:after="100" w:before="200"/>
      </w:pPr>
      <w:r>
        <w:rPr>
          <w:rFonts w:ascii="Montserrat" w:cs="Montserrat" w:eastAsia="Montserrat" w:hAnsi="Montserrat"/>
          <w:b/>
          <w:bCs/>
          <w:color w:val="0B0E3D"/>
          <w:sz w:val="21"/>
          <w:szCs w:val="21"/>
        </w:rPr>
        <w:t xml:space="preserve">8.1 Supuestos de la Estimación</w:t>
      </w:r>
    </w:p>
    <w:p>
      <w:pPr>
        <w:pStyle w:val="ListParagraph"/>
        <w:numPr>
          <w:ilvl w:val="0"/>
          <w:numId w:val="1"/>
        </w:numPr>
        <w:spacing w:after="90"/>
      </w:pPr>
      <w:r>
        <w:rPr>
          <w:rFonts w:ascii="Inter" w:cs="Inter" w:eastAsia="Inter" w:hAnsi="Inter"/>
          <w:sz w:val="21"/>
          <w:szCs w:val="21"/>
        </w:rPr>
        <w:t xml:space="preserve">Moneda: pesos colombianos (COP); tasa de referencia usada para convertir costos de infraestructura en USD: 1 USD ≈ 4.200 COP.</w:t>
      </w:r>
    </w:p>
    <w:p>
      <w:pPr>
        <w:pStyle w:val="ListParagraph"/>
        <w:numPr>
          <w:ilvl w:val="0"/>
          <w:numId w:val="1"/>
        </w:numPr>
        <w:spacing w:after="90"/>
      </w:pPr>
      <w:r>
        <w:rPr>
          <w:rFonts w:ascii="Inter" w:cs="Inter" w:eastAsia="Inter" w:hAnsi="Inter"/>
          <w:sz w:val="21"/>
          <w:szCs w:val="21"/>
        </w:rPr>
        <w:t xml:space="preserve">Jornada: sprints de 2 semanas = 10 días hábiles por sprint; 12 sprints en total (Sprint 0 a Sprint 11, ver §2).</w:t>
      </w:r>
    </w:p>
    <w:p>
      <w:pPr>
        <w:pStyle w:val="ListParagraph"/>
        <w:numPr>
          <w:ilvl w:val="0"/>
          <w:numId w:val="1"/>
        </w:numPr>
        <w:spacing w:after="90"/>
      </w:pPr>
      <w:r>
        <w:rPr>
          <w:rFonts w:ascii="Inter" w:cs="Inter" w:eastAsia="Inter" w:hAnsi="Inter"/>
          <w:sz w:val="21"/>
          <w:szCs w:val="21"/>
        </w:rPr>
        <w:t xml:space="preserve">Tarifas diarias por rol basadas en dedicación tipo contratista/freelance de medio-senior en Colombia, incluyendo su propio aseguramiento — no se suman prestaciones sociales adicionales sobre estas cifras.</w:t>
      </w:r>
    </w:p>
    <w:p>
      <w:pPr>
        <w:pStyle w:val="ListParagraph"/>
        <w:numPr>
          <w:ilvl w:val="0"/>
          <w:numId w:val="1"/>
        </w:numPr>
        <w:spacing w:after="90"/>
      </w:pPr>
      <w:r>
        <w:rPr>
          <w:rFonts w:ascii="Inter" w:cs="Inter" w:eastAsia="Inter" w:hAnsi="Inter"/>
          <w:sz w:val="21"/>
          <w:szCs w:val="21"/>
        </w:rPr>
        <w:t xml:space="preserve">La dedicación de cada rol usa la misma distribución de sprints definida en las secciones 3 y 4 (p. ej. el Ingeniero de Agentes de IA entra desde el Sprint 6, QA desde el Sprint 5 al 50%).</w:t>
      </w:r>
    </w:p>
    <w:p>
      <w:pPr>
        <w:pStyle w:val="ListParagraph"/>
        <w:numPr>
          <w:ilvl w:val="0"/>
          <w:numId w:val="1"/>
        </w:numPr>
        <w:spacing w:after="90"/>
      </w:pPr>
      <w:r>
        <w:rPr>
          <w:rFonts w:ascii="Inter" w:cs="Inter" w:eastAsia="Inter" w:hAnsi="Inter"/>
          <w:sz w:val="21"/>
          <w:szCs w:val="21"/>
        </w:rPr>
        <w:t xml:space="preserve">Los costos de infraestructura y servicios de terceros se estiman en modalidad sandbox/desarrollo, no en volumen de producción — deben re-cotizarse antes de un lanzamiento comercial real.</w:t>
      </w:r>
    </w:p>
    <w:p>
      <w:pPr>
        <w:pStyle w:val="Heading3"/>
        <w:spacing w:after="100" w:before="200"/>
      </w:pPr>
      <w:r>
        <w:rPr>
          <w:rFonts w:ascii="Montserrat" w:cs="Montserrat" w:eastAsia="Montserrat" w:hAnsi="Montserrat"/>
          <w:b/>
          <w:bCs/>
          <w:color w:val="0B0E3D"/>
          <w:sz w:val="21"/>
          <w:szCs w:val="21"/>
        </w:rPr>
        <w:t xml:space="preserve">8.2 Costo de Equipo por 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620"/>
        <w:gridCol w:w="1260"/>
        <w:gridCol w:w="1980"/>
        <w:gridCol w:w="1800"/>
      </w:tblGrid>
      <w:tr>
        <w:trPr>
          <w:tblHeader/>
        </w:trPr>
        <w:tc>
          <w:tcPr>
            <w:tcW w:type="pct" w:w="26%"/>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Rol</w:t>
            </w:r>
          </w:p>
        </w:tc>
        <w:tc>
          <w:tcPr>
            <w:tcW w:type="pct" w:w="18%"/>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Tarifa/día (COP)</w:t>
            </w:r>
          </w:p>
        </w:tc>
        <w:tc>
          <w:tcPr>
            <w:tcW w:type="pct" w:w="14%"/>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Días totales</w:t>
            </w:r>
          </w:p>
        </w:tc>
        <w:tc>
          <w:tcPr>
            <w:tcW w:type="pct" w:w="2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Subtotal (COP)</w:t>
            </w:r>
          </w:p>
        </w:tc>
        <w:tc>
          <w:tcPr>
            <w:tcW w:type="pct" w:w="2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Nota de dedicación</w:t>
            </w:r>
          </w:p>
        </w:tc>
      </w:tr>
      <w:tr>
        <w:tc>
          <w:tcPr>
            <w:tcW w:type="pct" w:w="2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Arquitecto / Tech Lead</w:t>
            </w:r>
          </w:p>
        </w:tc>
        <w:tc>
          <w:tcPr>
            <w:tcW w:type="pct" w:w="1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450.000</w:t>
            </w:r>
          </w:p>
        </w:tc>
        <w:tc>
          <w:tcPr>
            <w:tcW w:type="pct" w:w="1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120</w:t>
            </w:r>
          </w:p>
        </w:tc>
        <w:tc>
          <w:tcPr>
            <w:tcW w:type="pct" w:w="2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54.000.000</w:t>
            </w:r>
          </w:p>
        </w:tc>
        <w:tc>
          <w:tcPr>
            <w:tcW w:type="pct" w:w="2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100% — Sprints 0 a 11</w:t>
            </w:r>
          </w:p>
        </w:tc>
      </w:tr>
      <w:tr>
        <w:tc>
          <w:tcPr>
            <w:tcW w:type="pct" w:w="2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Backend Developer (NestJS)</w:t>
            </w:r>
          </w:p>
        </w:tc>
        <w:tc>
          <w:tcPr>
            <w:tcW w:type="pct" w:w="1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350.000</w:t>
            </w:r>
          </w:p>
        </w:tc>
        <w:tc>
          <w:tcPr>
            <w:tcW w:type="pct" w:w="1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120</w:t>
            </w:r>
          </w:p>
        </w:tc>
        <w:tc>
          <w:tcPr>
            <w:tcW w:type="pct" w:w="2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42.000.000</w:t>
            </w:r>
          </w:p>
        </w:tc>
        <w:tc>
          <w:tcPr>
            <w:tcW w:type="pct" w:w="2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100% — Sprints 0 a 11</w:t>
            </w:r>
          </w:p>
        </w:tc>
      </w:tr>
      <w:tr>
        <w:tc>
          <w:tcPr>
            <w:tcW w:type="pct" w:w="2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Frontend Developer (Angular)</w:t>
            </w:r>
          </w:p>
        </w:tc>
        <w:tc>
          <w:tcPr>
            <w:tcW w:type="pct" w:w="1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350.000</w:t>
            </w:r>
          </w:p>
        </w:tc>
        <w:tc>
          <w:tcPr>
            <w:tcW w:type="pct" w:w="1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120</w:t>
            </w:r>
          </w:p>
        </w:tc>
        <w:tc>
          <w:tcPr>
            <w:tcW w:type="pct" w:w="2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42.000.000</w:t>
            </w:r>
          </w:p>
        </w:tc>
        <w:tc>
          <w:tcPr>
            <w:tcW w:type="pct" w:w="2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100% — Sprints 0 a 11</w:t>
            </w:r>
          </w:p>
        </w:tc>
      </w:tr>
      <w:tr>
        <w:tc>
          <w:tcPr>
            <w:tcW w:type="pct" w:w="2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Ingeniero de Agentes de IA</w:t>
            </w:r>
          </w:p>
        </w:tc>
        <w:tc>
          <w:tcPr>
            <w:tcW w:type="pct" w:w="1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400.000</w:t>
            </w:r>
          </w:p>
        </w:tc>
        <w:tc>
          <w:tcPr>
            <w:tcW w:type="pct" w:w="1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60</w:t>
            </w:r>
          </w:p>
        </w:tc>
        <w:tc>
          <w:tcPr>
            <w:tcW w:type="pct" w:w="2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24.000.000</w:t>
            </w:r>
          </w:p>
        </w:tc>
        <w:tc>
          <w:tcPr>
            <w:tcW w:type="pct" w:w="2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Desde Sprint 6 (spike) hasta Sprint 11</w:t>
            </w:r>
          </w:p>
        </w:tc>
      </w:tr>
      <w:tr>
        <w:tc>
          <w:tcPr>
            <w:tcW w:type="pct" w:w="2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QA / Testing</w:t>
            </w:r>
          </w:p>
        </w:tc>
        <w:tc>
          <w:tcPr>
            <w:tcW w:type="pct" w:w="1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280.000</w:t>
            </w:r>
          </w:p>
        </w:tc>
        <w:tc>
          <w:tcPr>
            <w:tcW w:type="pct" w:w="1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35</w:t>
            </w:r>
          </w:p>
        </w:tc>
        <w:tc>
          <w:tcPr>
            <w:tcW w:type="pct" w:w="2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9.800.000</w:t>
            </w:r>
          </w:p>
        </w:tc>
        <w:tc>
          <w:tcPr>
            <w:tcW w:type="pct" w:w="2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50% desde Sprint 5 hasta Sprint 11</w:t>
            </w:r>
          </w:p>
        </w:tc>
      </w:tr>
      <w:tr>
        <w:tc>
          <w:tcPr>
            <w:tcW w:type="pct" w:w="2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Subtotal equipo</w:t>
            </w:r>
          </w:p>
        </w:tc>
        <w:tc>
          <w:tcPr>
            <w:tcW w:type="pct" w:w="1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
            </w:r>
          </w:p>
        </w:tc>
        <w:tc>
          <w:tcPr>
            <w:tcW w:type="pct" w:w="1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
            </w:r>
          </w:p>
        </w:tc>
        <w:tc>
          <w:tcPr>
            <w:tcW w:type="pct" w:w="2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171.800.000</w:t>
            </w:r>
          </w:p>
        </w:tc>
        <w:tc>
          <w:tcPr>
            <w:tcW w:type="pct" w:w="2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
            </w:r>
          </w:p>
        </w:tc>
      </w:tr>
    </w:tbl>
    <w:p>
      <w:pPr>
        <w:pStyle w:val="Heading3"/>
        <w:spacing w:after="100" w:before="200"/>
      </w:pPr>
      <w:r>
        <w:rPr>
          <w:rFonts w:ascii="Montserrat" w:cs="Montserrat" w:eastAsia="Montserrat" w:hAnsi="Montserrat"/>
          <w:b/>
          <w:bCs/>
          <w:color w:val="0B0E3D"/>
          <w:sz w:val="21"/>
          <w:szCs w:val="21"/>
        </w:rPr>
        <w:t xml:space="preserve">8.3 Costo por Fase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2700"/>
        <w:gridCol w:w="2340"/>
      </w:tblGrid>
      <w:tr>
        <w:trPr>
          <w:tblHeader/>
        </w:trPr>
        <w:tc>
          <w:tcPr>
            <w:tcW w:type="pct" w:w="16%"/>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Fase</w:t>
            </w:r>
          </w:p>
        </w:tc>
        <w:tc>
          <w:tcPr>
            <w:tcW w:type="pct" w:w="28%"/>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Costo de equipo (COP)</w:t>
            </w:r>
          </w:p>
        </w:tc>
        <w:tc>
          <w:tcPr>
            <w:tcW w:type="pct" w:w="3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Costo de infraestructura (COP)</w:t>
            </w:r>
          </w:p>
        </w:tc>
        <w:tc>
          <w:tcPr>
            <w:tcW w:type="pct" w:w="26%"/>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Subtotal (COP)</w:t>
            </w:r>
          </w:p>
        </w:tc>
      </w:tr>
      <w:tr>
        <w:tc>
          <w:tcPr>
            <w:tcW w:type="pct" w:w="1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1 — MVP (Sprints 0–6)</w:t>
            </w:r>
          </w:p>
        </w:tc>
        <w:tc>
          <w:tcPr>
            <w:tcW w:type="pct" w:w="2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87.300.000</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1.260.000</w:t>
            </w:r>
          </w:p>
        </w:tc>
        <w:tc>
          <w:tcPr>
            <w:tcW w:type="pct" w:w="2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88.560.000</w:t>
            </w:r>
          </w:p>
        </w:tc>
      </w:tr>
      <w:tr>
        <w:tc>
          <w:tcPr>
            <w:tcW w:type="pct" w:w="1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2 — Agentes de IA (Sprints 7–11)</w:t>
            </w:r>
          </w:p>
        </w:tc>
        <w:tc>
          <w:tcPr>
            <w:tcW w:type="pct" w:w="2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84.500.000</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1.890.000</w:t>
            </w:r>
          </w:p>
        </w:tc>
        <w:tc>
          <w:tcPr>
            <w:tcW w:type="pct" w:w="2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86.390.000</w:t>
            </w:r>
          </w:p>
        </w:tc>
      </w:tr>
      <w:tr>
        <w:tc>
          <w:tcPr>
            <w:tcW w:type="pct" w:w="1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Total</w:t>
            </w:r>
          </w:p>
        </w:tc>
        <w:tc>
          <w:tcPr>
            <w:tcW w:type="pct" w:w="2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171.800.000</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3.150.000</w:t>
            </w:r>
          </w:p>
        </w:tc>
        <w:tc>
          <w:tcPr>
            <w:tcW w:type="pct" w:w="2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174.950.000</w:t>
            </w:r>
          </w:p>
        </w:tc>
      </w:tr>
    </w:tbl>
    <w:p>
      <w:pPr>
        <w:pStyle w:val="Heading3"/>
        <w:spacing w:after="100" w:before="200"/>
      </w:pPr>
      <w:r>
        <w:rPr>
          <w:rFonts w:ascii="Montserrat" w:cs="Montserrat" w:eastAsia="Montserrat" w:hAnsi="Montserrat"/>
          <w:b/>
          <w:bCs/>
          <w:color w:val="0B0E3D"/>
          <w:sz w:val="21"/>
          <w:szCs w:val="21"/>
        </w:rPr>
        <w:t xml:space="preserve">8.4 Costos de Infraestructura y Servicios (referencia mensual)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700"/>
        <w:gridCol w:w="1980"/>
        <w:gridCol w:w="1980"/>
      </w:tblGrid>
      <w:tr>
        <w:trPr>
          <w:tblHeader/>
        </w:trPr>
        <w:tc>
          <w:tcPr>
            <w:tcW w:type="pct" w:w="26%"/>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Servicio</w:t>
            </w:r>
          </w:p>
        </w:tc>
        <w:tc>
          <w:tcPr>
            <w:tcW w:type="pct" w:w="3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Plan de referencia</w:t>
            </w:r>
          </w:p>
        </w:tc>
        <w:tc>
          <w:tcPr>
            <w:tcW w:type="pct" w:w="2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Costo aprox./mes (USD)</w:t>
            </w:r>
          </w:p>
        </w:tc>
        <w:tc>
          <w:tcPr>
            <w:tcW w:type="pct" w:w="2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Fase en que aplica</w:t>
            </w:r>
          </w:p>
        </w:tc>
      </w:tr>
      <w:tr>
        <w:tc>
          <w:tcPr>
            <w:tcW w:type="pct" w:w="2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Vercel</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Pro</w:t>
            </w:r>
          </w:p>
        </w:tc>
        <w:tc>
          <w:tcPr>
            <w:tcW w:type="pct" w:w="2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20</w:t>
            </w:r>
          </w:p>
        </w:tc>
        <w:tc>
          <w:tcPr>
            <w:tcW w:type="pct" w:w="2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1 y 2</w:t>
            </w:r>
          </w:p>
        </w:tc>
      </w:tr>
      <w:tr>
        <w:tc>
          <w:tcPr>
            <w:tcW w:type="pct" w:w="2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Railway</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Developer/Team</w:t>
            </w:r>
          </w:p>
        </w:tc>
        <w:tc>
          <w:tcPr>
            <w:tcW w:type="pct" w:w="2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30–50</w:t>
            </w:r>
          </w:p>
        </w:tc>
        <w:tc>
          <w:tcPr>
            <w:tcW w:type="pct" w:w="2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1 y 2</w:t>
            </w:r>
          </w:p>
        </w:tc>
      </w:tr>
      <w:tr>
        <w:tc>
          <w:tcPr>
            <w:tcW w:type="pct" w:w="2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Supabase</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Pro</w:t>
            </w:r>
          </w:p>
        </w:tc>
        <w:tc>
          <w:tcPr>
            <w:tcW w:type="pct" w:w="2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25</w:t>
            </w:r>
          </w:p>
        </w:tc>
        <w:tc>
          <w:tcPr>
            <w:tcW w:type="pct" w:w="2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1 y 2</w:t>
            </w:r>
          </w:p>
        </w:tc>
      </w:tr>
      <w:tr>
        <w:tc>
          <w:tcPr>
            <w:tcW w:type="pct" w:w="2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LiveKit Cloud</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Pay-as-you-go</w:t>
            </w:r>
          </w:p>
        </w:tc>
        <w:tc>
          <w:tcPr>
            <w:tcW w:type="pct" w:w="2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≈50 (uso de pruebas)</w:t>
            </w:r>
          </w:p>
        </w:tc>
        <w:tc>
          <w:tcPr>
            <w:tcW w:type="pct" w:w="2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2</w:t>
            </w:r>
          </w:p>
        </w:tc>
      </w:tr>
      <w:tr>
        <w:tc>
          <w:tcPr>
            <w:tcW w:type="pct" w:w="2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Deepgram</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Pay-as-you-go</w:t>
            </w:r>
          </w:p>
        </w:tc>
        <w:tc>
          <w:tcPr>
            <w:tcW w:type="pct" w:w="2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≈30 (uso de pruebas)</w:t>
            </w:r>
          </w:p>
        </w:tc>
        <w:tc>
          <w:tcPr>
            <w:tcW w:type="pct" w:w="2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2</w:t>
            </w:r>
          </w:p>
        </w:tc>
      </w:tr>
      <w:tr>
        <w:tc>
          <w:tcPr>
            <w:tcW w:type="pct" w:w="2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ElevenLabs</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Starter</w:t>
            </w:r>
          </w:p>
        </w:tc>
        <w:tc>
          <w:tcPr>
            <w:tcW w:type="pct" w:w="2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22</w:t>
            </w:r>
          </w:p>
        </w:tc>
        <w:tc>
          <w:tcPr>
            <w:tcW w:type="pct" w:w="2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2</w:t>
            </w:r>
          </w:p>
        </w:tc>
      </w:tr>
      <w:tr>
        <w:tc>
          <w:tcPr>
            <w:tcW w:type="pct" w:w="2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WhatsApp Business Cloud API</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Nivel gratuito de pruebas</w:t>
            </w:r>
          </w:p>
        </w:tc>
        <w:tc>
          <w:tcPr>
            <w:tcW w:type="pct" w:w="2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0 (dentro del umbral de Meta)</w:t>
            </w:r>
          </w:p>
        </w:tc>
        <w:tc>
          <w:tcPr>
            <w:tcW w:type="pct" w:w="2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2</w:t>
            </w:r>
          </w:p>
        </w:tc>
      </w:tr>
      <w:tr>
        <w:tc>
          <w:tcPr>
            <w:tcW w:type="pct" w:w="2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Wompi</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Sandbox</w:t>
            </w:r>
          </w:p>
        </w:tc>
        <w:tc>
          <w:tcPr>
            <w:tcW w:type="pct" w:w="2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0</w:t>
            </w:r>
          </w:p>
        </w:tc>
        <w:tc>
          <w:tcPr>
            <w:tcW w:type="pct" w:w="2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1 y 2</w:t>
            </w:r>
          </w:p>
        </w:tc>
      </w:tr>
      <w:tr>
        <w:tc>
          <w:tcPr>
            <w:tcW w:type="pct" w:w="2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Anthropic API (Claude, Agentes 2 y 3)</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Pay-as-you-go — saldo de prueba</w:t>
            </w:r>
          </w:p>
        </w:tc>
        <w:tc>
          <w:tcPr>
            <w:tcW w:type="pct" w:w="2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Saldo inicial: USD 7,5</w:t>
            </w:r>
          </w:p>
        </w:tc>
        <w:tc>
          <w:tcPr>
            <w:tcW w:type="pct" w:w="2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2</w:t>
            </w:r>
          </w:p>
        </w:tc>
      </w:tr>
      <w:tr>
        <w:tc>
          <w:tcPr>
            <w:tcW w:type="pct" w:w="2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Dominio y varios</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w:t>
            </w:r>
          </w:p>
        </w:tc>
        <w:tc>
          <w:tcPr>
            <w:tcW w:type="pct" w:w="2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≈50 (una vez)</w:t>
            </w:r>
          </w:p>
        </w:tc>
        <w:tc>
          <w:tcPr>
            <w:tcW w:type="pct" w:w="2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1</w:t>
            </w:r>
          </w:p>
        </w:tc>
      </w:tr>
    </w:tbl>
    <w:p>
      <w:pPr>
        <w:spacing w:after="160" w:line="300"/>
      </w:pPr>
      <w:r>
        <w:rPr>
          <w:rFonts w:ascii="Inter" w:cs="Inter" w:eastAsia="Inter" w:hAnsi="Inter"/>
          <w:b w:val="false"/>
          <w:bCs w:val="false"/>
          <w:i w:val="false"/>
          <w:iCs w:val="false"/>
          <w:color w:val="1A1A1A"/>
          <w:sz w:val="21"/>
          <w:szCs w:val="21"/>
        </w:rPr>
        <w:t xml:space="preserve">El saldo inicial asignado para el consumo de la API de Anthropic (Claude) que orquesta a los Agentes 2 y 3 durante las pruebas de Fase 2 es de USD 7,5 (ver fila anterior). Este saldo es independiente del consumo de Claude Code como agente de codificación durante la implementación — financiado por un plan de suscripción propio del equipo, ver §1.1 — que no se descuenta de este saldo. Una vez agotado el saldo de prueba, el consumo pasa a facturarse por volumen real de conversaciones; se recomienda monitorear el consumo desde el primer sprint de Fase 2 y presupuestar de forma incremental en lugar de un valor fijo mensual (ver también Documento de Arquitectura §12, riesgo de agotamiento de saldo).</w:t>
      </w:r>
    </w:p>
    <w:p>
      <w:pPr>
        <w:pStyle w:val="Heading3"/>
        <w:spacing w:after="100" w:before="200"/>
      </w:pPr>
      <w:r>
        <w:rPr>
          <w:rFonts w:ascii="Montserrat" w:cs="Montserrat" w:eastAsia="Montserrat" w:hAnsi="Montserrat"/>
          <w:b/>
          <w:bCs/>
          <w:color w:val="0B0E3D"/>
          <w:sz w:val="21"/>
          <w:szCs w:val="21"/>
        </w:rPr>
        <w:t xml:space="preserve">8.5 Resumen y Contingencia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950"/>
        <w:gridCol w:w="2250"/>
        <w:gridCol w:w="1800"/>
      </w:tblGrid>
      <w:tr>
        <w:trPr>
          <w:tblHeader/>
        </w:trPr>
        <w:tc>
          <w:tcPr>
            <w:tcW w:type="pct" w:w="55%"/>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Concepto</w:t>
            </w:r>
          </w:p>
        </w:tc>
        <w:tc>
          <w:tcPr>
            <w:tcW w:type="pct" w:w="25%"/>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Monto (COP)</w:t>
            </w:r>
          </w:p>
        </w:tc>
        <w:tc>
          <w:tcPr>
            <w:tcW w:type="pct" w:w="2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 del subtotal</w:t>
            </w:r>
          </w:p>
        </w:tc>
      </w:tr>
      <w:tr>
        <w:tc>
          <w:tcPr>
            <w:tcW w:type="pct" w:w="55%"/>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Subtotal (equipo + infraestructura)</w:t>
            </w:r>
          </w:p>
        </w:tc>
        <w:tc>
          <w:tcPr>
            <w:tcW w:type="pct" w:w="25%"/>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174.950.000</w:t>
            </w:r>
          </w:p>
        </w:tc>
        <w:tc>
          <w:tcPr>
            <w:tcW w:type="pct" w:w="2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100%</w:t>
            </w:r>
          </w:p>
        </w:tc>
      </w:tr>
      <w:tr>
        <w:tc>
          <w:tcPr>
            <w:tcW w:type="pct" w:w="55%"/>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Contingencia (imprevistos, retrabajo, cambios menores de alcance)</w:t>
            </w:r>
          </w:p>
        </w:tc>
        <w:tc>
          <w:tcPr>
            <w:tcW w:type="pct" w:w="25%"/>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17.495.000</w:t>
            </w:r>
          </w:p>
        </w:tc>
        <w:tc>
          <w:tcPr>
            <w:tcW w:type="pct" w:w="2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10%</w:t>
            </w:r>
          </w:p>
        </w:tc>
      </w:tr>
      <w:tr>
        <w:tc>
          <w:tcPr>
            <w:tcW w:type="pct" w:w="55%"/>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Total estimado del proyecto</w:t>
            </w:r>
          </w:p>
        </w:tc>
        <w:tc>
          <w:tcPr>
            <w:tcW w:type="pct" w:w="25%"/>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192.445.000</w:t>
            </w:r>
          </w:p>
        </w:tc>
        <w:tc>
          <w:tcPr>
            <w:tcW w:type="pct" w:w="2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w:t>
            </w:r>
          </w:p>
        </w:tc>
      </w:tr>
    </w:tbl>
    <w:p>
      <w:pPr>
        <w:spacing w:after="160" w:line="300"/>
      </w:pPr>
      <w:r>
        <w:rPr>
          <w:rFonts w:ascii="Inter" w:cs="Inter" w:eastAsia="Inter" w:hAnsi="Inter"/>
          <w:b w:val="false"/>
          <w:bCs w:val="false"/>
          <w:i w:val="false"/>
          <w:iCs w:val="false"/>
          <w:color w:val="1A1A1A"/>
          <w:sz w:val="21"/>
          <w:szCs w:val="21"/>
        </w:rPr>
        <w:t xml:space="preserve">En dólares de referencia, el total estimado equivale aproximadamente a USD 45.800 (a la tasa de conversión indicada en §8.1). Este total es el punto de partida para una negociación real con el cliente o, en el contexto de un proyecto académico, una cifra de referencia para justificar el esfuerzo y la escala del trabajo frente al criterio de evaluación del 30% del ERS.</w:t>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9. Próximos Pasos Inmediatos</w:t>
      </w:r>
    </w:p>
    <w:p>
      <w:pPr>
        <w:pStyle w:val="ListParagraph"/>
        <w:numPr>
          <w:ilvl w:val="0"/>
          <w:numId w:val="1"/>
        </w:numPr>
        <w:spacing w:after="90"/>
      </w:pPr>
      <w:r>
        <w:rPr>
          <w:rFonts w:ascii="Inter" w:cs="Inter" w:eastAsia="Inter" w:hAnsi="Inter"/>
          <w:sz w:val="21"/>
          <w:szCs w:val="21"/>
        </w:rPr>
        <w:t xml:space="preserve">Confirmar fecha de inicio real y ajustar la numeración de sprints de este plan a fechas calendario.</w:t>
      </w:r>
    </w:p>
    <w:p>
      <w:pPr>
        <w:pStyle w:val="ListParagraph"/>
        <w:numPr>
          <w:ilvl w:val="0"/>
          <w:numId w:val="1"/>
        </w:numPr>
        <w:spacing w:after="90"/>
      </w:pPr>
      <w:r>
        <w:rPr>
          <w:rFonts w:ascii="Inter" w:cs="Inter" w:eastAsia="Inter" w:hAnsi="Inter"/>
          <w:sz w:val="21"/>
          <w:szCs w:val="21"/>
        </w:rPr>
        <w:t xml:space="preserve">Crear las cuentas sandbox necesarias (Wompi, WhatsApp Business Cloud API, LiveKit, Deepgram, ElevenLabs, Supabase, Vercel, Railway) antes de iniciar Sprint 0.</w:t>
      </w:r>
    </w:p>
    <w:p>
      <w:pPr>
        <w:pStyle w:val="ListParagraph"/>
        <w:numPr>
          <w:ilvl w:val="0"/>
          <w:numId w:val="1"/>
        </w:numPr>
        <w:spacing w:after="90"/>
      </w:pPr>
      <w:r>
        <w:rPr>
          <w:rFonts w:ascii="Inter" w:cs="Inter" w:eastAsia="Inter" w:hAnsi="Inter"/>
          <w:sz w:val="21"/>
          <w:szCs w:val="21"/>
        </w:rPr>
        <w:t xml:space="preserve">Iniciar en paralelo el system design visual en Stitch usando la Especificación UI/UX (documento 4) como insumo, para tenerlo listo antes de Sprint 10 (integración por MCP).</w:t>
      </w:r>
    </w:p>
    <w:p>
      <w:pPr>
        <w:pStyle w:val="ListParagraph"/>
        <w:numPr>
          <w:ilvl w:val="0"/>
          <w:numId w:val="1"/>
        </w:numPr>
        <w:spacing w:after="90"/>
      </w:pPr>
      <w:r>
        <w:rPr>
          <w:rFonts w:ascii="Inter" w:cs="Inter" w:eastAsia="Inter" w:hAnsi="Inter"/>
          <w:sz w:val="21"/>
          <w:szCs w:val="21"/>
        </w:rPr>
        <w:t xml:space="preserve">Configurar en el pipeline de CI/CD un linter de OpenAPI (p. ej. Spectral) sobre openapi.yaml y un runner de Gherkin (p. ej. Cucumber/Playwright-BDD) sobre features/*.feature, como prerrequisito de Sprint 0 para poder aplicar la Definition of Done ampliada por SDD (§1.1) desde el primer sprint.</w:t>
      </w:r>
    </w:p>
    <w:p>
      <w:pPr>
        <w:pStyle w:val="ListParagraph"/>
        <w:numPr>
          <w:ilvl w:val="0"/>
          <w:numId w:val="1"/>
        </w:numPr>
        <w:spacing w:after="90"/>
      </w:pPr>
      <w:r>
        <w:rPr>
          <w:rFonts w:ascii="Inter" w:cs="Inter" w:eastAsia="Inter" w:hAnsi="Inter"/>
          <w:sz w:val="21"/>
          <w:szCs w:val="21"/>
        </w:rPr>
        <w:t xml:space="preserve">Validar este cronograma de referencia contra la fecha límite real del curso/proyecto y recortar el alcance de Fase 2 si es necesario (ver Sprint 11, "Fase 2 es prescindible para una primera entrega").</w:t>
      </w:r>
    </w:p>
    <w:p>
      <w:pPr>
        <w:pStyle w:val="ListParagraph"/>
        <w:numPr>
          <w:ilvl w:val="0"/>
          <w:numId w:val="1"/>
        </w:numPr>
        <w:spacing w:after="90"/>
      </w:pPr>
      <w:r>
        <w:rPr>
          <w:rFonts w:ascii="Inter" w:cs="Inter" w:eastAsia="Inter" w:hAnsi="Inter"/>
          <w:sz w:val="21"/>
          <w:szCs w:val="21"/>
        </w:rPr>
        <w:t xml:space="preserve">Revisar y ajustar las tarifas y supuestos de la Propuesta Económica (§8) con cifras reales del equipo antes de usarla como cotización formal.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2A9AF" w:sz="4" w:space="4"/>
      </w:pBdr>
      <w:jc w:val="center"/>
    </w:pPr>
    <w:r>
      <w:rPr>
        <w:rFonts w:ascii="Inter" w:cs="Inter" w:eastAsia="Inter" w:hAnsi="Inter"/>
        <w:color w:val="5C6470"/>
        <w:sz w:val="16"/>
        <w:szCs w:val="16"/>
      </w:rPr>
      <w:t xml:space="preserve">ToolBox JL · Plan de Implementación — ToolBox JL · Confidencial  |  Página </w:t>
    </w:r>
    <w:r>
      <w:rPr>
        <w:rFonts w:ascii="Inter" w:cs="Inter" w:eastAsia="Inter" w:hAnsi="Inter"/>
        <w:color w:val="5C6470"/>
        <w:sz w:val="16"/>
        <w:szCs w:val="16"/>
      </w:rPr>
      <w:fldChar w:fldCharType="begin"/>
      <w:instrText xml:space="preserve">PAGE</w:instrText>
      <w:fldChar w:fldCharType="separate"/>
      <w:fldChar w:fldCharType="end"/>
    </w:r>
    <w:r>
      <w:rPr>
        <w:rFonts w:ascii="Inter" w:cs="Inter" w:eastAsia="Inter" w:hAnsi="Inter"/>
        <w:color w:val="5C6470"/>
        <w:sz w:val="16"/>
        <w:szCs w:val="16"/>
      </w:rPr>
      <w:t xml:space="preserve"> de </w:t>
    </w:r>
    <w:r>
      <w:rPr>
        <w:rFonts w:ascii="Inter" w:cs="Inter" w:eastAsia="Inter" w:hAnsi="Inter"/>
        <w:color w:val="5C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2A9AF" w:sz="4" w:space="4"/>
      </w:pBdr>
      <w:tabs>
        <w:tab w:val="right" w:pos="9360"/>
      </w:tabs>
    </w:pPr>
    <w:r>
      <w:rPr>
        <w:rFonts w:ascii="Montserrat" w:cs="Montserrat" w:eastAsia="Montserrat" w:hAnsi="Montserrat"/>
        <w:b/>
        <w:bCs/>
        <w:i/>
        <w:iCs/>
        <w:color w:val="141CDB"/>
        <w:sz w:val="16"/>
        <w:szCs w:val="16"/>
      </w:rPr>
      <w:t xml:space="preserve">TOOLBOX JL</w:t>
    </w:r>
    <w:r>
      <w:rPr>
        <w:rFonts w:ascii="Inter" w:cs="Inter" w:eastAsia="Inter" w:hAnsi="Inter"/>
        <w:color w:val="5C6470"/>
        <w:sz w:val="16"/>
        <w:szCs w:val="16"/>
      </w:rPr>
      <w:t xml:space="preserve">	Plan de Implementación — ToolBox JL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bc64d366b68343d7fcc3cf96e78b19802baa8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Implementación — ToolBox JL</dc:title>
  <dc:creator>Equipo de Arquitectura de Soluciones</dc:creator>
  <cp:lastModifiedBy>Un-named</cp:lastModifiedBy>
  <cp:revision>1</cp:revision>
  <dcterms:created xsi:type="dcterms:W3CDTF">2026-08-22T14:59:15.268Z</dcterms:created>
  <dcterms:modified xsi:type="dcterms:W3CDTF">2026-08-22T14:59:15.268Z</dcterms:modified>
</cp:coreProperties>
</file>

<file path=docProps/custom.xml><?xml version="1.0" encoding="utf-8"?>
<Properties xmlns="http://schemas.openxmlformats.org/officeDocument/2006/custom-properties" xmlns:vt="http://schemas.openxmlformats.org/officeDocument/2006/docPropsVTypes"/>
</file>