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0B2545"/>
          <w:sz w:val="48"/>
        </w:rPr>
        <w:t>OKR Platform Security Remediation Report</w:t>
      </w:r>
    </w:p>
    <w:p>
      <w:pPr>
        <w:spacing w:after="360"/>
      </w:pPr>
      <w:r>
        <w:rPr>
          <w:rFonts w:ascii="Calibri" w:hAnsi="Calibri" w:eastAsia="Microsoft YaHei"/>
          <w:color w:val="595959"/>
          <w:sz w:val="24"/>
        </w:rPr>
        <w:t>Security assessment findings remediation status | Submitted for regression testing</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Pr>
          <w:p>
            <w:pPr>
              <w:spacing w:before="0" w:after="0" w:line="259" w:lineRule="auto"/>
              <w:jc w:val="left"/>
            </w:pPr>
            <w:r/>
            <w:r>
              <w:rPr>
                <w:rFonts w:ascii="Calibri" w:hAnsi="Calibri" w:eastAsia="Microsoft YaHei"/>
                <w:b/>
                <w:color w:val="1F4D78"/>
                <w:sz w:val="20"/>
              </w:rPr>
              <w:t>System</w:t>
            </w:r>
          </w:p>
        </w:tc>
        <w:tc>
          <w:tcPr>
            <w:tcW w:type="dxa" w:w="6660"/>
          </w:tcPr>
          <w:p>
            <w:pPr>
              <w:spacing w:before="0" w:after="0" w:line="259" w:lineRule="auto"/>
              <w:jc w:val="left"/>
            </w:pPr>
            <w:r/>
            <w:r>
              <w:rPr>
                <w:rFonts w:ascii="Calibri" w:hAnsi="Calibri" w:eastAsia="Microsoft YaHei"/>
                <w:b w:val="0"/>
                <w:color w:val="000000"/>
                <w:sz w:val="20"/>
              </w:rPr>
              <w:t>OKR Platform</w:t>
            </w:r>
          </w:p>
        </w:tc>
      </w:tr>
      <w:tr>
        <w:tc>
          <w:tcPr>
            <w:tcW w:type="dxa" w:w="2700"/>
            <w:shd w:fill="F2F4F7"/>
          </w:tcPr>
          <w:p>
            <w:pPr>
              <w:spacing w:before="0" w:after="0" w:line="259" w:lineRule="auto"/>
              <w:jc w:val="left"/>
            </w:pPr>
            <w:r/>
            <w:r>
              <w:rPr>
                <w:rFonts w:ascii="Calibri" w:hAnsi="Calibri" w:eastAsia="Microsoft YaHei"/>
                <w:b/>
                <w:color w:val="1F4D78"/>
                <w:sz w:val="20"/>
              </w:rPr>
              <w:t>Report date</w:t>
            </w:r>
          </w:p>
        </w:tc>
        <w:tc>
          <w:tcPr>
            <w:tcW w:type="dxa" w:w="6660"/>
          </w:tcPr>
          <w:p>
            <w:pPr>
              <w:spacing w:before="0" w:after="0" w:line="259" w:lineRule="auto"/>
              <w:jc w:val="left"/>
            </w:pPr>
            <w:r/>
            <w:r>
              <w:rPr>
                <w:rFonts w:ascii="Calibri" w:hAnsi="Calibri" w:eastAsia="Microsoft YaHei"/>
                <w:b w:val="0"/>
                <w:color w:val="000000"/>
                <w:sz w:val="20"/>
              </w:rPr>
              <w:t>2026-07-14</w:t>
            </w:r>
          </w:p>
        </w:tc>
      </w:tr>
      <w:tr>
        <w:tc>
          <w:tcPr>
            <w:tcW w:type="dxa" w:w="2700"/>
            <w:shd w:fill="F2F4F7"/>
          </w:tcPr>
          <w:p>
            <w:pPr>
              <w:spacing w:before="0" w:after="0" w:line="259" w:lineRule="auto"/>
              <w:jc w:val="left"/>
            </w:pPr>
            <w:r/>
            <w:r>
              <w:rPr>
                <w:rFonts w:ascii="Calibri" w:hAnsi="Calibri" w:eastAsia="Microsoft YaHei"/>
                <w:b/>
                <w:color w:val="1F4D78"/>
                <w:sz w:val="20"/>
              </w:rPr>
              <w:t>Remediation scope</w:t>
            </w:r>
          </w:p>
        </w:tc>
        <w:tc>
          <w:tcPr>
            <w:tcW w:type="dxa" w:w="6660"/>
          </w:tcPr>
          <w:p>
            <w:pPr>
              <w:spacing w:before="0" w:after="0" w:line="259" w:lineRule="auto"/>
              <w:jc w:val="left"/>
            </w:pPr>
            <w:r/>
            <w:r>
              <w:rPr>
                <w:rFonts w:ascii="Calibri" w:hAnsi="Calibri" w:eastAsia="Microsoft YaHei"/>
                <w:b w:val="0"/>
                <w:color w:val="000000"/>
                <w:sz w:val="20"/>
              </w:rPr>
              <w:t>Initial security test report and source-code verification findings</w:t>
            </w:r>
          </w:p>
        </w:tc>
      </w:tr>
      <w:tr>
        <w:tc>
          <w:tcPr>
            <w:tcW w:type="dxa" w:w="2700"/>
            <w:shd w:fill="F2F4F7"/>
          </w:tcPr>
          <w:p>
            <w:pPr>
              <w:spacing w:before="0" w:after="0" w:line="259" w:lineRule="auto"/>
              <w:jc w:val="left"/>
            </w:pPr>
            <w:r/>
            <w:r>
              <w:rPr>
                <w:rFonts w:ascii="Calibri" w:hAnsi="Calibri" w:eastAsia="Microsoft YaHei"/>
                <w:b/>
                <w:color w:val="1F4D78"/>
                <w:sz w:val="20"/>
              </w:rPr>
              <w:t>Testing request</w:t>
            </w:r>
          </w:p>
        </w:tc>
        <w:tc>
          <w:tcPr>
            <w:tcW w:type="dxa" w:w="6660"/>
          </w:tcPr>
          <w:p>
            <w:pPr>
              <w:spacing w:before="0" w:after="0" w:line="259" w:lineRule="auto"/>
              <w:jc w:val="left"/>
            </w:pPr>
            <w:r/>
            <w:r>
              <w:rPr>
                <w:rFonts w:ascii="Calibri" w:hAnsi="Calibri" w:eastAsia="Microsoft YaHei"/>
                <w:b w:val="0"/>
                <w:color w:val="000000"/>
                <w:sz w:val="20"/>
              </w:rPr>
              <w:t>Validate server-side authorization, authentication baseline, audit, and HTTPS deployment controls</w:t>
            </w:r>
          </w:p>
        </w:tc>
      </w:tr>
    </w:tbl>
    <w:p>
      <w:pPr>
        <w:pStyle w:val="Heading1"/>
      </w:pPr>
      <w:r>
        <w:rPr>
          <w:rFonts w:ascii="Calibri" w:hAnsi="Calibri" w:eastAsia="Microsoft YaHei"/>
          <w:b/>
          <w:color w:val="2E74B5"/>
          <w:sz w:val="32"/>
        </w:rPr>
        <w:t>1. Executive Conclusion</w:t>
      </w:r>
    </w:p>
    <w:p>
      <w:pPr>
        <w:spacing w:before="0" w:after="120" w:line="264" w:lineRule="auto"/>
      </w:pPr>
      <w:r>
        <w:rPr>
          <w:rFonts w:ascii="Calibri" w:hAnsi="Calibri" w:eastAsia="Microsoft YaHei"/>
          <w:color w:val="000000"/>
          <w:sz w:val="22"/>
        </w:rPr>
        <w:t>This remediation closes the primary horizontal privilege-escalation path by enforcing authorization on the server using role and resource relationships. The application now validates write payloads, limits local password login to super administrators, introduces CSRF and origin controls, adds baseline HTTP security headers, and records security-relevant actions in an immutable audit log.</w:t>
      </w:r>
    </w:p>
    <w:p>
      <w:pPr>
        <w:spacing w:before="0" w:after="120" w:line="264" w:lineRule="auto"/>
      </w:pPr>
      <w:r>
        <w:rPr>
          <w:rFonts w:ascii="Calibri" w:hAnsi="Calibri" w:eastAsia="Microsoft YaHei"/>
          <w:b/>
          <w:color w:val="1F4D78"/>
          <w:sz w:val="22"/>
        </w:rPr>
        <w:t xml:space="preserve">Assessment result: </w:t>
      </w:r>
      <w:r>
        <w:rPr>
          <w:rFonts w:ascii="Calibri" w:hAnsi="Calibri" w:eastAsia="Microsoft YaHei"/>
          <w:color w:val="1F4D78"/>
          <w:sz w:val="22"/>
        </w:rPr>
        <w:t>code-level remediation is complete for the identified high-risk areas. Production certificate deployment, external TLS scanning, DingTalk integration verification, and full multi-role regression remain release-gate test items and must be validated in the test environment before production release.</w:t>
      </w:r>
    </w:p>
    <w:p>
      <w:pPr>
        <w:pStyle w:val="Heading1"/>
      </w:pPr>
      <w:r>
        <w:rPr>
          <w:rFonts w:ascii="Calibri" w:hAnsi="Calibri" w:eastAsia="Microsoft YaHei"/>
          <w:b/>
          <w:color w:val="2E74B5"/>
          <w:sz w:val="32"/>
        </w:rPr>
        <w:t>2. Scope and Evidence</w:t>
      </w:r>
    </w:p>
    <w:p>
      <w:pPr>
        <w:pStyle w:val="ListBullet"/>
        <w:spacing w:after="80" w:line="280" w:lineRule="auto"/>
      </w:pPr>
      <w:r>
        <w:rPr>
          <w:rFonts w:ascii="Calibri" w:hAnsi="Calibri" w:eastAsia="Microsoft YaHei"/>
          <w:color w:val="000000"/>
          <w:sz w:val="22"/>
        </w:rPr>
        <w:t>Source review: Express routes, authorization helpers, authentication/session handling, database schema and migrations, client request handling, and operational startup configuration.</w:t>
      </w:r>
    </w:p>
    <w:p>
      <w:pPr>
        <w:pStyle w:val="ListBullet"/>
        <w:spacing w:after="80" w:line="280" w:lineRule="auto"/>
      </w:pPr>
      <w:r>
        <w:rPr>
          <w:rFonts w:ascii="Calibri" w:hAnsi="Calibri" w:eastAsia="Microsoft YaHei"/>
          <w:color w:val="000000"/>
          <w:sz w:val="22"/>
        </w:rPr>
        <w:t>Automated checks performed during remediation: TypeScript type check, Node security-policy tests, and code linting. The security-policy test suite passed 3 of 3 tests.</w:t>
      </w:r>
    </w:p>
    <w:p>
      <w:pPr>
        <w:pStyle w:val="ListBullet"/>
        <w:spacing w:after="80" w:line="280" w:lineRule="auto"/>
      </w:pPr>
      <w:r>
        <w:rPr>
          <w:rFonts w:ascii="Calibri" w:hAnsi="Calibri" w:eastAsia="Microsoft YaHei"/>
          <w:color w:val="000000"/>
          <w:sz w:val="22"/>
        </w:rPr>
        <w:t>Runtime verification performed in the development environment: database migration applied successfully; process restarted; health endpoint, root page, and main JavaScript asset returned HTTP 200.</w:t>
      </w:r>
    </w:p>
    <w:p>
      <w:pPr>
        <w:pStyle w:val="ListBullet"/>
        <w:spacing w:after="80" w:line="280" w:lineRule="auto"/>
      </w:pPr>
      <w:r>
        <w:rPr>
          <w:rFonts w:ascii="Calibri" w:hAnsi="Calibri" w:eastAsia="Microsoft YaHei"/>
          <w:color w:val="000000"/>
          <w:sz w:val="22"/>
        </w:rPr>
        <w:t>Excluded from completed evidence: production certificate files, public DNS, PM2 certificate reload, Internet-facing TLS scan, and test accounts for every business role.</w:t>
      </w:r>
    </w:p>
    <w:p>
      <w:pPr>
        <w:pStyle w:val="Heading1"/>
      </w:pPr>
      <w:r>
        <w:rPr>
          <w:rFonts w:ascii="Calibri" w:hAnsi="Calibri" w:eastAsia="Microsoft YaHei"/>
          <w:b/>
          <w:color w:val="2E74B5"/>
          <w:sz w:val="32"/>
        </w:rPr>
        <w:t>3. Findings Remediation Matrix</w:t>
      </w:r>
    </w:p>
    <w:tbl>
      <w:tblPr>
        <w:tblStyle w:val="TableGrid"/>
        <w:tblW w:type="dxa" w:w="9360"/>
        <w:jc w:val="left"/>
        <w:tblLayout w:type="fixed"/>
        <w:tblLook w:firstColumn="1" w:firstRow="1" w:lastColumn="0" w:lastRow="0" w:noHBand="0" w:noVBand="1" w:val="04A0"/>
        <w:tblInd w:w="120" w:type="dxa"/>
      </w:tblPr>
      <w:tblGrid>
        <w:gridCol w:w="520"/>
        <w:gridCol w:w="1750"/>
        <w:gridCol w:w="2200"/>
        <w:gridCol w:w="4890"/>
      </w:tblGrid>
      <w:tr>
        <w:tc>
          <w:tcPr>
            <w:tcW w:type="dxa" w:w="52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No.</w:t>
            </w:r>
          </w:p>
        </w:tc>
        <w:tc>
          <w:tcPr>
            <w:tcW w:type="dxa" w:w="175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Finding</w:t>
            </w:r>
          </w:p>
        </w:tc>
        <w:tc>
          <w:tcPr>
            <w:tcW w:type="dxa" w:w="22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Status</w:t>
            </w:r>
          </w:p>
        </w:tc>
        <w:tc>
          <w:tcPr>
            <w:tcW w:type="dxa" w:w="489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Remediation evidence</w:t>
            </w:r>
          </w:p>
        </w:tc>
      </w:tr>
      <w:tr>
        <w:tc>
          <w:tcPr>
            <w:tcW w:type="dxa" w:w="520"/>
          </w:tcPr>
          <w:p>
            <w:pPr>
              <w:spacing w:before="0" w:after="0" w:line="259" w:lineRule="auto"/>
              <w:jc w:val="center"/>
            </w:pPr>
            <w:r/>
            <w:r>
              <w:rPr>
                <w:rFonts w:ascii="Calibri" w:hAnsi="Calibri" w:eastAsia="Microsoft YaHei"/>
                <w:b w:val="0"/>
                <w:color w:val="000000"/>
                <w:sz w:val="18"/>
              </w:rPr>
              <w:t>1</w:t>
            </w:r>
          </w:p>
        </w:tc>
        <w:tc>
          <w:tcPr>
            <w:tcW w:type="dxa" w:w="1750"/>
          </w:tcPr>
          <w:p>
            <w:pPr>
              <w:spacing w:before="0" w:after="0" w:line="259" w:lineRule="auto"/>
              <w:jc w:val="left"/>
            </w:pPr>
            <w:r/>
            <w:r>
              <w:rPr>
                <w:rFonts w:ascii="Calibri" w:hAnsi="Calibri" w:eastAsia="Microsoft YaHei"/>
                <w:b w:val="0"/>
                <w:color w:val="000000"/>
                <w:sz w:val="18"/>
              </w:rPr>
              <w:t>Plain HTTP / sensitive transmission</w:t>
            </w:r>
          </w:p>
        </w:tc>
        <w:tc>
          <w:tcPr>
            <w:tcW w:type="dxa" w:w="2200"/>
          </w:tcPr>
          <w:p>
            <w:pPr>
              <w:spacing w:before="0" w:after="0" w:line="259" w:lineRule="auto"/>
              <w:jc w:val="left"/>
            </w:pPr>
            <w:r/>
            <w:r>
              <w:rPr>
                <w:rFonts w:ascii="Calibri" w:hAnsi="Calibri" w:eastAsia="Microsoft YaHei"/>
                <w:b w:val="0"/>
                <w:color w:val="000000"/>
                <w:sz w:val="18"/>
              </w:rPr>
              <w:t>Code implemented; deployment verification required</w:t>
            </w:r>
          </w:p>
        </w:tc>
        <w:tc>
          <w:tcPr>
            <w:tcW w:type="dxa" w:w="4890"/>
          </w:tcPr>
          <w:p>
            <w:pPr>
              <w:spacing w:before="0" w:after="0" w:line="259" w:lineRule="auto"/>
              <w:jc w:val="left"/>
            </w:pPr>
            <w:r/>
            <w:r>
              <w:rPr>
                <w:rFonts w:ascii="Calibri" w:hAnsi="Calibri" w:eastAsia="Microsoft YaHei"/>
                <w:b w:val="0"/>
                <w:color w:val="000000"/>
                <w:sz w:val="18"/>
              </w:rPr>
              <w:t>Production Node HTTPS server, TLS 1.2 minimum, fixed HTTPS origin, separate HTTP 308 redirect. Startup fails without valid certificate, key, and public origin.</w:t>
            </w:r>
          </w:p>
        </w:tc>
      </w:tr>
      <w:tr>
        <w:tc>
          <w:tcPr>
            <w:tcW w:type="dxa" w:w="520"/>
            <w:shd w:fill="FAFBFC"/>
          </w:tcPr>
          <w:p>
            <w:pPr>
              <w:spacing w:before="0" w:after="0" w:line="259" w:lineRule="auto"/>
              <w:jc w:val="center"/>
            </w:pPr>
            <w:r/>
            <w:r>
              <w:rPr>
                <w:rFonts w:ascii="Calibri" w:hAnsi="Calibri" w:eastAsia="Microsoft YaHei"/>
                <w:b w:val="0"/>
                <w:color w:val="000000"/>
                <w:sz w:val="18"/>
              </w:rPr>
              <w:t>2</w:t>
            </w:r>
          </w:p>
        </w:tc>
        <w:tc>
          <w:tcPr>
            <w:tcW w:type="dxa" w:w="1750"/>
            <w:shd w:fill="FAFBFC"/>
          </w:tcPr>
          <w:p>
            <w:pPr>
              <w:spacing w:before="0" w:after="0" w:line="259" w:lineRule="auto"/>
              <w:jc w:val="center"/>
            </w:pPr>
            <w:r/>
            <w:r>
              <w:rPr>
                <w:rFonts w:ascii="Calibri" w:hAnsi="Calibri" w:eastAsia="Microsoft YaHei"/>
                <w:b w:val="0"/>
                <w:color w:val="000000"/>
                <w:sz w:val="18"/>
              </w:rPr>
              <w:t>CSRF</w:t>
            </w:r>
          </w:p>
        </w:tc>
        <w:tc>
          <w:tcPr>
            <w:tcW w:type="dxa" w:w="2200"/>
            <w:shd w:fill="FAFBFC"/>
          </w:tcPr>
          <w:p>
            <w:pPr>
              <w:spacing w:before="0" w:after="0" w:line="259" w:lineRule="auto"/>
              <w:jc w:val="left"/>
            </w:pPr>
            <w:r/>
            <w:r>
              <w:rPr>
                <w:rFonts w:ascii="Calibri" w:hAnsi="Calibri" w:eastAsia="Microsoft YaHei"/>
                <w:b w:val="0"/>
                <w:color w:val="000000"/>
                <w:sz w:val="18"/>
              </w:rPr>
              <w:t>Implemented</w:t>
            </w:r>
          </w:p>
        </w:tc>
        <w:tc>
          <w:tcPr>
            <w:tcW w:type="dxa" w:w="4890"/>
            <w:shd w:fill="FAFBFC"/>
          </w:tcPr>
          <w:p>
            <w:pPr>
              <w:spacing w:before="0" w:after="0" w:line="259" w:lineRule="auto"/>
              <w:jc w:val="left"/>
            </w:pPr>
            <w:r/>
            <w:r>
              <w:rPr>
                <w:rFonts w:ascii="Calibri" w:hAnsi="Calibri" w:eastAsia="Microsoft YaHei"/>
                <w:b w:val="0"/>
                <w:color w:val="000000"/>
                <w:sz w:val="18"/>
              </w:rPr>
              <w:t>Session-bound CSRF token endpoint; state-changing API requests require X-CSRF-Token; non-whitelisted Origin is rejected.</w:t>
            </w:r>
          </w:p>
        </w:tc>
      </w:tr>
      <w:tr>
        <w:tc>
          <w:tcPr>
            <w:tcW w:type="dxa" w:w="520"/>
          </w:tcPr>
          <w:p>
            <w:pPr>
              <w:spacing w:before="0" w:after="0" w:line="259" w:lineRule="auto"/>
              <w:jc w:val="center"/>
            </w:pPr>
            <w:r/>
            <w:r>
              <w:rPr>
                <w:rFonts w:ascii="Calibri" w:hAnsi="Calibri" w:eastAsia="Microsoft YaHei"/>
                <w:b w:val="0"/>
                <w:color w:val="000000"/>
                <w:sz w:val="18"/>
              </w:rPr>
              <w:t>3</w:t>
            </w:r>
          </w:p>
        </w:tc>
        <w:tc>
          <w:tcPr>
            <w:tcW w:type="dxa" w:w="1750"/>
          </w:tcPr>
          <w:p>
            <w:pPr>
              <w:spacing w:before="0" w:after="0" w:line="259" w:lineRule="auto"/>
              <w:jc w:val="left"/>
            </w:pPr>
            <w:r/>
            <w:r>
              <w:rPr>
                <w:rFonts w:ascii="Calibri" w:hAnsi="Calibri" w:eastAsia="Microsoft YaHei"/>
                <w:b w:val="0"/>
                <w:color w:val="000000"/>
                <w:sz w:val="18"/>
              </w:rPr>
              <w:t>Parameter tampering</w:t>
            </w:r>
          </w:p>
        </w:tc>
        <w:tc>
          <w:tcPr>
            <w:tcW w:type="dxa" w:w="2200"/>
          </w:tcPr>
          <w:p>
            <w:pPr>
              <w:spacing w:before="0" w:after="0" w:line="259" w:lineRule="auto"/>
              <w:jc w:val="left"/>
            </w:pPr>
            <w:r/>
            <w:r>
              <w:rPr>
                <w:rFonts w:ascii="Calibri" w:hAnsi="Calibri" w:eastAsia="Microsoft YaHei"/>
                <w:b w:val="0"/>
                <w:color w:val="000000"/>
                <w:sz w:val="18"/>
              </w:rPr>
              <w:t>Implemented</w:t>
            </w:r>
          </w:p>
        </w:tc>
        <w:tc>
          <w:tcPr>
            <w:tcW w:type="dxa" w:w="4890"/>
          </w:tcPr>
          <w:p>
            <w:pPr>
              <w:spacing w:before="0" w:after="0" w:line="259" w:lineRule="auto"/>
              <w:jc w:val="left"/>
            </w:pPr>
            <w:r/>
            <w:r>
              <w:rPr>
                <w:rFonts w:ascii="Calibri" w:hAnsi="Calibri" w:eastAsia="Microsoft YaHei"/>
                <w:b w:val="0"/>
                <w:color w:val="000000"/>
                <w:sz w:val="18"/>
              </w:rPr>
              <w:t>Zod DTO validation, unknown-field rejection, ID and range checks; server recomputes authorization from authenticated user rather than trusting request fields.</w:t>
            </w:r>
          </w:p>
        </w:tc>
      </w:tr>
      <w:tr>
        <w:tc>
          <w:tcPr>
            <w:tcW w:type="dxa" w:w="520"/>
            <w:shd w:fill="FAFBFC"/>
          </w:tcPr>
          <w:p>
            <w:pPr>
              <w:spacing w:before="0" w:after="0" w:line="259" w:lineRule="auto"/>
              <w:jc w:val="center"/>
            </w:pPr>
            <w:r/>
            <w:r>
              <w:rPr>
                <w:rFonts w:ascii="Calibri" w:hAnsi="Calibri" w:eastAsia="Microsoft YaHei"/>
                <w:b w:val="0"/>
                <w:color w:val="000000"/>
                <w:sz w:val="18"/>
              </w:rPr>
              <w:t>4</w:t>
            </w:r>
          </w:p>
        </w:tc>
        <w:tc>
          <w:tcPr>
            <w:tcW w:type="dxa" w:w="1750"/>
            <w:shd w:fill="FAFBFC"/>
          </w:tcPr>
          <w:p>
            <w:pPr>
              <w:spacing w:before="0" w:after="0" w:line="259" w:lineRule="auto"/>
              <w:jc w:val="left"/>
            </w:pPr>
            <w:r/>
            <w:r>
              <w:rPr>
                <w:rFonts w:ascii="Calibri" w:hAnsi="Calibri" w:eastAsia="Microsoft YaHei"/>
                <w:b w:val="0"/>
                <w:color w:val="000000"/>
                <w:sz w:val="18"/>
              </w:rPr>
              <w:t>Weak administrator password</w:t>
            </w:r>
          </w:p>
        </w:tc>
        <w:tc>
          <w:tcPr>
            <w:tcW w:type="dxa" w:w="2200"/>
            <w:shd w:fill="FAFBFC"/>
          </w:tcPr>
          <w:p>
            <w:pPr>
              <w:spacing w:before="0" w:after="0" w:line="259" w:lineRule="auto"/>
              <w:jc w:val="left"/>
            </w:pPr>
            <w:r/>
            <w:r>
              <w:rPr>
                <w:rFonts w:ascii="Calibri" w:hAnsi="Calibri" w:eastAsia="Microsoft YaHei"/>
                <w:b w:val="0"/>
                <w:color w:val="000000"/>
                <w:sz w:val="18"/>
              </w:rPr>
              <w:t>Implemented</w:t>
            </w:r>
          </w:p>
        </w:tc>
        <w:tc>
          <w:tcPr>
            <w:tcW w:type="dxa" w:w="4890"/>
            <w:shd w:fill="FAFBFC"/>
          </w:tcPr>
          <w:p>
            <w:pPr>
              <w:spacing w:before="0" w:after="0" w:line="259" w:lineRule="auto"/>
              <w:jc w:val="left"/>
            </w:pPr>
            <w:r/>
            <w:r>
              <w:rPr>
                <w:rFonts w:ascii="Calibri" w:hAnsi="Calibri" w:eastAsia="Microsoft YaHei"/>
                <w:b w:val="0"/>
                <w:color w:val="000000"/>
                <w:sz w:val="18"/>
              </w:rPr>
              <w:t>Minimum 8 characters and at least 3 character classes; bcrypt hashing with 12 rounds; no fixed default password.</w:t>
            </w:r>
          </w:p>
        </w:tc>
      </w:tr>
      <w:tr>
        <w:tc>
          <w:tcPr>
            <w:tcW w:type="dxa" w:w="520"/>
          </w:tcPr>
          <w:p>
            <w:pPr>
              <w:spacing w:before="0" w:after="0" w:line="259" w:lineRule="auto"/>
              <w:jc w:val="center"/>
            </w:pPr>
            <w:r/>
            <w:r>
              <w:rPr>
                <w:rFonts w:ascii="Calibri" w:hAnsi="Calibri" w:eastAsia="Microsoft YaHei"/>
                <w:b w:val="0"/>
                <w:color w:val="000000"/>
                <w:sz w:val="18"/>
              </w:rPr>
              <w:t>5</w:t>
            </w:r>
          </w:p>
        </w:tc>
        <w:tc>
          <w:tcPr>
            <w:tcW w:type="dxa" w:w="1750"/>
          </w:tcPr>
          <w:p>
            <w:pPr>
              <w:spacing w:before="0" w:after="0" w:line="259" w:lineRule="auto"/>
              <w:jc w:val="left"/>
            </w:pPr>
            <w:r/>
            <w:r>
              <w:rPr>
                <w:rFonts w:ascii="Calibri" w:hAnsi="Calibri" w:eastAsia="Microsoft YaHei"/>
                <w:b w:val="0"/>
                <w:color w:val="000000"/>
                <w:sz w:val="18"/>
              </w:rPr>
              <w:t>Missing security headers</w:t>
            </w:r>
          </w:p>
        </w:tc>
        <w:tc>
          <w:tcPr>
            <w:tcW w:type="dxa" w:w="2200"/>
          </w:tcPr>
          <w:p>
            <w:pPr>
              <w:spacing w:before="0" w:after="0" w:line="259" w:lineRule="auto"/>
              <w:jc w:val="left"/>
            </w:pPr>
            <w:r/>
            <w:r>
              <w:rPr>
                <w:rFonts w:ascii="Calibri" w:hAnsi="Calibri" w:eastAsia="Microsoft YaHei"/>
                <w:b w:val="0"/>
                <w:color w:val="000000"/>
                <w:sz w:val="18"/>
              </w:rPr>
              <w:t>Implemented</w:t>
            </w:r>
          </w:p>
        </w:tc>
        <w:tc>
          <w:tcPr>
            <w:tcW w:type="dxa" w:w="4890"/>
          </w:tcPr>
          <w:p>
            <w:pPr>
              <w:spacing w:before="0" w:after="0" w:line="259" w:lineRule="auto"/>
              <w:jc w:val="left"/>
            </w:pPr>
            <w:r/>
            <w:r>
              <w:rPr>
                <w:rFonts w:ascii="Calibri" w:hAnsi="Calibri" w:eastAsia="Microsoft YaHei"/>
                <w:b w:val="0"/>
                <w:color w:val="000000"/>
                <w:sz w:val="18"/>
              </w:rPr>
              <w:t>Helmet CSP and related headers; HSTS in production; no-store for sensitive responses; anti-framing policy.</w:t>
            </w:r>
          </w:p>
        </w:tc>
      </w:tr>
      <w:tr>
        <w:tc>
          <w:tcPr>
            <w:tcW w:type="dxa" w:w="520"/>
            <w:shd w:fill="FAFBFC"/>
          </w:tcPr>
          <w:p>
            <w:pPr>
              <w:spacing w:before="0" w:after="0" w:line="259" w:lineRule="auto"/>
              <w:jc w:val="center"/>
            </w:pPr>
            <w:r/>
            <w:r>
              <w:rPr>
                <w:rFonts w:ascii="Calibri" w:hAnsi="Calibri" w:eastAsia="Microsoft YaHei"/>
                <w:b w:val="0"/>
                <w:color w:val="000000"/>
                <w:sz w:val="18"/>
              </w:rPr>
              <w:t>6</w:t>
            </w:r>
          </w:p>
        </w:tc>
        <w:tc>
          <w:tcPr>
            <w:tcW w:type="dxa" w:w="1750"/>
            <w:shd w:fill="FAFBFC"/>
          </w:tcPr>
          <w:p>
            <w:pPr>
              <w:spacing w:before="0" w:after="0" w:line="259" w:lineRule="auto"/>
              <w:jc w:val="left"/>
            </w:pPr>
            <w:r/>
            <w:r>
              <w:rPr>
                <w:rFonts w:ascii="Calibri" w:hAnsi="Calibri" w:eastAsia="Microsoft YaHei"/>
                <w:b w:val="0"/>
                <w:color w:val="000000"/>
                <w:sz w:val="18"/>
              </w:rPr>
              <w:t>Horizontal privilege escalation</w:t>
            </w:r>
          </w:p>
        </w:tc>
        <w:tc>
          <w:tcPr>
            <w:tcW w:type="dxa" w:w="2200"/>
            <w:shd w:fill="FAFBFC"/>
          </w:tcPr>
          <w:p>
            <w:pPr>
              <w:spacing w:before="0" w:after="0" w:line="259" w:lineRule="auto"/>
              <w:jc w:val="left"/>
            </w:pPr>
            <w:r/>
            <w:r>
              <w:rPr>
                <w:rFonts w:ascii="Calibri" w:hAnsi="Calibri" w:eastAsia="Microsoft YaHei"/>
                <w:b w:val="0"/>
                <w:color w:val="000000"/>
                <w:sz w:val="18"/>
              </w:rPr>
              <w:t>Implemented</w:t>
            </w:r>
          </w:p>
        </w:tc>
        <w:tc>
          <w:tcPr>
            <w:tcW w:type="dxa" w:w="4890"/>
            <w:shd w:fill="FAFBFC"/>
          </w:tcPr>
          <w:p>
            <w:pPr>
              <w:spacing w:before="0" w:after="0" w:line="259" w:lineRule="auto"/>
              <w:jc w:val="left"/>
            </w:pPr>
            <w:r/>
            <w:r>
              <w:rPr>
                <w:rFonts w:ascii="Calibri" w:hAnsi="Calibri" w:eastAsia="Microsoft YaHei"/>
                <w:b w:val="0"/>
                <w:color w:val="000000"/>
                <w:sz w:val="18"/>
              </w:rPr>
              <w:t>Unified read/manage/update checks for objectives, KRs, comments, notifications, import/export, analytics, and AI analysis. Unauthorized resources return 404.</w:t>
            </w:r>
          </w:p>
        </w:tc>
      </w:tr>
      <w:tr>
        <w:tc>
          <w:tcPr>
            <w:tcW w:type="dxa" w:w="520"/>
          </w:tcPr>
          <w:p>
            <w:pPr>
              <w:spacing w:before="0" w:after="0" w:line="259" w:lineRule="auto"/>
              <w:jc w:val="center"/>
            </w:pPr>
            <w:r/>
            <w:r>
              <w:rPr>
                <w:rFonts w:ascii="Calibri" w:hAnsi="Calibri" w:eastAsia="Microsoft YaHei"/>
                <w:b w:val="0"/>
                <w:color w:val="000000"/>
                <w:sz w:val="18"/>
              </w:rPr>
              <w:t>7</w:t>
            </w:r>
          </w:p>
        </w:tc>
        <w:tc>
          <w:tcPr>
            <w:tcW w:type="dxa" w:w="1750"/>
          </w:tcPr>
          <w:p>
            <w:pPr>
              <w:spacing w:before="0" w:after="0" w:line="259" w:lineRule="auto"/>
              <w:jc w:val="left"/>
            </w:pPr>
            <w:r/>
            <w:r>
              <w:rPr>
                <w:rFonts w:ascii="Calibri" w:hAnsi="Calibri" w:eastAsia="Microsoft YaHei"/>
                <w:b w:val="0"/>
                <w:color w:val="000000"/>
                <w:sz w:val="18"/>
              </w:rPr>
              <w:t>Vertical privilege escalation</w:t>
            </w:r>
          </w:p>
        </w:tc>
        <w:tc>
          <w:tcPr>
            <w:tcW w:type="dxa" w:w="2200"/>
          </w:tcPr>
          <w:p>
            <w:pPr>
              <w:spacing w:before="0" w:after="0" w:line="259" w:lineRule="auto"/>
              <w:jc w:val="left"/>
            </w:pPr>
            <w:r/>
            <w:r>
              <w:rPr>
                <w:rFonts w:ascii="Calibri" w:hAnsi="Calibri" w:eastAsia="Microsoft YaHei"/>
                <w:b w:val="0"/>
                <w:color w:val="000000"/>
                <w:sz w:val="18"/>
              </w:rPr>
              <w:t>Implemented</w:t>
            </w:r>
          </w:p>
        </w:tc>
        <w:tc>
          <w:tcPr>
            <w:tcW w:type="dxa" w:w="4890"/>
          </w:tcPr>
          <w:p>
            <w:pPr>
              <w:spacing w:before="0" w:after="0" w:line="259" w:lineRule="auto"/>
              <w:jc w:val="left"/>
            </w:pPr>
            <w:r/>
            <w:r>
              <w:rPr>
                <w:rFonts w:ascii="Calibri" w:hAnsi="Calibri" w:eastAsia="Microsoft YaHei"/>
                <w:b w:val="0"/>
                <w:color w:val="000000"/>
                <w:sz w:val="18"/>
              </w:rPr>
              <w:t>Administrator routes retain server-side super-administrator checks; client route guard redirects non-administrators away from management pages.</w:t>
            </w:r>
          </w:p>
        </w:tc>
      </w:tr>
      <w:tr>
        <w:tc>
          <w:tcPr>
            <w:tcW w:type="dxa" w:w="520"/>
            <w:shd w:fill="FAFBFC"/>
          </w:tcPr>
          <w:p>
            <w:pPr>
              <w:spacing w:before="0" w:after="0" w:line="259" w:lineRule="auto"/>
              <w:jc w:val="center"/>
            </w:pPr>
            <w:r/>
            <w:r>
              <w:rPr>
                <w:rFonts w:ascii="Calibri" w:hAnsi="Calibri" w:eastAsia="Microsoft YaHei"/>
                <w:b w:val="0"/>
                <w:color w:val="000000"/>
                <w:sz w:val="18"/>
              </w:rPr>
              <w:t>8</w:t>
            </w:r>
          </w:p>
        </w:tc>
        <w:tc>
          <w:tcPr>
            <w:tcW w:type="dxa" w:w="1750"/>
            <w:shd w:fill="FAFBFC"/>
          </w:tcPr>
          <w:p>
            <w:pPr>
              <w:spacing w:before="0" w:after="0" w:line="259" w:lineRule="auto"/>
              <w:jc w:val="left"/>
            </w:pPr>
            <w:r/>
            <w:r>
              <w:rPr>
                <w:rFonts w:ascii="Calibri" w:hAnsi="Calibri" w:eastAsia="Microsoft YaHei"/>
                <w:b w:val="0"/>
                <w:color w:val="000000"/>
                <w:sz w:val="18"/>
              </w:rPr>
              <w:t>Insufficient audit</w:t>
            </w:r>
          </w:p>
        </w:tc>
        <w:tc>
          <w:tcPr>
            <w:tcW w:type="dxa" w:w="2200"/>
            <w:shd w:fill="FAFBFC"/>
          </w:tcPr>
          <w:p>
            <w:pPr>
              <w:spacing w:before="0" w:after="0" w:line="259" w:lineRule="auto"/>
              <w:jc w:val="left"/>
            </w:pPr>
            <w:r/>
            <w:r>
              <w:rPr>
                <w:rFonts w:ascii="Calibri" w:hAnsi="Calibri" w:eastAsia="Microsoft YaHei"/>
                <w:b w:val="0"/>
                <w:color w:val="000000"/>
                <w:sz w:val="18"/>
              </w:rPr>
              <w:t>Implemented</w:t>
            </w:r>
          </w:p>
        </w:tc>
        <w:tc>
          <w:tcPr>
            <w:tcW w:type="dxa" w:w="4890"/>
            <w:shd w:fill="FAFBFC"/>
          </w:tcPr>
          <w:p>
            <w:pPr>
              <w:spacing w:before="0" w:after="0" w:line="259" w:lineRule="auto"/>
              <w:jc w:val="left"/>
            </w:pPr>
            <w:r/>
            <w:r>
              <w:rPr>
                <w:rFonts w:ascii="Calibri" w:hAnsi="Calibri" w:eastAsia="Microsoft YaHei"/>
                <w:b w:val="0"/>
                <w:color w:val="000000"/>
                <w:sz w:val="18"/>
              </w:rPr>
              <w:t>PostgreSQL audit_logs records actor, role, time, IP, user agent, action, resource, result, and request ID; restricted administrator query/export; 180-day retention design.</w:t>
            </w:r>
          </w:p>
        </w:tc>
      </w:tr>
    </w:tbl>
    <w:p>
      <w:pPr>
        <w:spacing w:after="40"/>
      </w:pPr>
    </w:p>
    <w:p>
      <w:pPr>
        <w:pStyle w:val="Heading1"/>
      </w:pPr>
      <w:r>
        <w:rPr>
          <w:rFonts w:ascii="Calibri" w:hAnsi="Calibri" w:eastAsia="Microsoft YaHei"/>
          <w:b/>
          <w:color w:val="2E74B5"/>
          <w:sz w:val="32"/>
        </w:rPr>
        <w:t>4. Key Technical Controls</w:t>
      </w:r>
    </w:p>
    <w:p>
      <w:pPr>
        <w:pStyle w:val="Heading2"/>
      </w:pPr>
      <w:r>
        <w:rPr>
          <w:rFonts w:ascii="Calibri" w:hAnsi="Calibri" w:eastAsia="Microsoft YaHei"/>
          <w:b/>
          <w:color w:val="2E74B5"/>
          <w:sz w:val="26"/>
        </w:rPr>
        <w:t>4.1 Authorization Model</w:t>
      </w:r>
    </w:p>
    <w:p>
      <w:pPr>
        <w:spacing w:before="0" w:after="120" w:line="264" w:lineRule="auto"/>
      </w:pPr>
      <w:r>
        <w:rPr>
          <w:rFonts w:ascii="Calibri" w:hAnsi="Calibri" w:eastAsia="Microsoft YaHei"/>
          <w:color w:val="000000"/>
          <w:sz w:val="22"/>
        </w:rPr>
        <w:t>The authorization model is enforced on the API layer and does not rely on UI visibility. It uses the authenticated user's role plus their relationship to the requested resource.</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Identity</w:t>
            </w:r>
          </w:p>
        </w:tc>
        <w:tc>
          <w:tcPr>
            <w:tcW w:type="dxa" w:w="696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Permitted scope</w:t>
            </w:r>
          </w:p>
        </w:tc>
      </w:tr>
      <w:tr>
        <w:tc>
          <w:tcPr>
            <w:tcW w:type="dxa" w:w="2400"/>
          </w:tcPr>
          <w:p>
            <w:pPr>
              <w:spacing w:before="0" w:after="0" w:line="259" w:lineRule="auto"/>
              <w:jc w:val="left"/>
            </w:pPr>
            <w:r/>
            <w:r>
              <w:rPr>
                <w:rFonts w:ascii="Calibri" w:hAnsi="Calibri" w:eastAsia="Microsoft YaHei"/>
                <w:b w:val="0"/>
                <w:color w:val="000000"/>
                <w:sz w:val="18"/>
              </w:rPr>
              <w:t>Super administrator</w:t>
            </w:r>
          </w:p>
        </w:tc>
        <w:tc>
          <w:tcPr>
            <w:tcW w:type="dxa" w:w="6960"/>
          </w:tcPr>
          <w:p>
            <w:pPr>
              <w:spacing w:before="0" w:after="0" w:line="259" w:lineRule="auto"/>
              <w:jc w:val="left"/>
            </w:pPr>
            <w:r/>
            <w:r>
              <w:rPr>
                <w:rFonts w:ascii="Calibri" w:hAnsi="Calibri" w:eastAsia="Microsoft YaHei"/>
                <w:b w:val="0"/>
                <w:color w:val="000000"/>
                <w:sz w:val="18"/>
              </w:rPr>
              <w:t>Manage all resources and system configuration.</w:t>
            </w:r>
          </w:p>
        </w:tc>
      </w:tr>
      <w:tr>
        <w:tc>
          <w:tcPr>
            <w:tcW w:type="dxa" w:w="2400"/>
            <w:shd w:fill="FAFBFC"/>
          </w:tcPr>
          <w:p>
            <w:pPr>
              <w:spacing w:before="0" w:after="0" w:line="259" w:lineRule="auto"/>
              <w:jc w:val="left"/>
            </w:pPr>
            <w:r/>
            <w:r>
              <w:rPr>
                <w:rFonts w:ascii="Calibri" w:hAnsi="Calibri" w:eastAsia="Microsoft YaHei"/>
                <w:b w:val="0"/>
                <w:color w:val="000000"/>
                <w:sz w:val="18"/>
              </w:rPr>
              <w:t>Objective creator</w:t>
            </w:r>
          </w:p>
        </w:tc>
        <w:tc>
          <w:tcPr>
            <w:tcW w:type="dxa" w:w="6960"/>
            <w:shd w:fill="FAFBFC"/>
          </w:tcPr>
          <w:p>
            <w:pPr>
              <w:spacing w:before="0" w:after="0" w:line="259" w:lineRule="auto"/>
              <w:jc w:val="left"/>
            </w:pPr>
            <w:r/>
            <w:r>
              <w:rPr>
                <w:rFonts w:ascii="Calibri" w:hAnsi="Calibri" w:eastAsia="Microsoft YaHei"/>
                <w:b w:val="0"/>
                <w:color w:val="000000"/>
                <w:sz w:val="18"/>
              </w:rPr>
              <w:t>Manage objectives they created and their KRs.</w:t>
            </w:r>
          </w:p>
        </w:tc>
      </w:tr>
      <w:tr>
        <w:tc>
          <w:tcPr>
            <w:tcW w:type="dxa" w:w="2400"/>
          </w:tcPr>
          <w:p>
            <w:pPr>
              <w:spacing w:before="0" w:after="0" w:line="259" w:lineRule="auto"/>
              <w:jc w:val="left"/>
            </w:pPr>
            <w:r/>
            <w:r>
              <w:rPr>
                <w:rFonts w:ascii="Calibri" w:hAnsi="Calibri" w:eastAsia="Microsoft YaHei"/>
                <w:b w:val="0"/>
                <w:color w:val="000000"/>
                <w:sz w:val="18"/>
              </w:rPr>
              <w:t>KR assignee</w:t>
            </w:r>
          </w:p>
        </w:tc>
        <w:tc>
          <w:tcPr>
            <w:tcW w:type="dxa" w:w="6960"/>
          </w:tcPr>
          <w:p>
            <w:pPr>
              <w:spacing w:before="0" w:after="0" w:line="259" w:lineRule="auto"/>
              <w:jc w:val="left"/>
            </w:pPr>
            <w:r/>
            <w:r>
              <w:rPr>
                <w:rFonts w:ascii="Calibri" w:hAnsi="Calibri" w:eastAsia="Microsoft YaHei"/>
                <w:b w:val="0"/>
                <w:color w:val="000000"/>
                <w:sz w:val="18"/>
              </w:rPr>
              <w:t>View the associated objective; update own KR progress and self-assessment only.</w:t>
            </w:r>
          </w:p>
        </w:tc>
      </w:tr>
      <w:tr>
        <w:tc>
          <w:tcPr>
            <w:tcW w:type="dxa" w:w="2400"/>
            <w:shd w:fill="FAFBFC"/>
          </w:tcPr>
          <w:p>
            <w:pPr>
              <w:spacing w:before="0" w:after="0" w:line="259" w:lineRule="auto"/>
              <w:jc w:val="left"/>
            </w:pPr>
            <w:r/>
            <w:r>
              <w:rPr>
                <w:rFonts w:ascii="Calibri" w:hAnsi="Calibri" w:eastAsia="Microsoft YaHei"/>
                <w:b w:val="0"/>
                <w:color w:val="000000"/>
                <w:sz w:val="18"/>
              </w:rPr>
              <w:t>KR collaborator</w:t>
            </w:r>
          </w:p>
        </w:tc>
        <w:tc>
          <w:tcPr>
            <w:tcW w:type="dxa" w:w="6960"/>
            <w:shd w:fill="FAFBFC"/>
          </w:tcPr>
          <w:p>
            <w:pPr>
              <w:spacing w:before="0" w:after="0" w:line="259" w:lineRule="auto"/>
              <w:jc w:val="left"/>
            </w:pPr>
            <w:r/>
            <w:r>
              <w:rPr>
                <w:rFonts w:ascii="Calibri" w:hAnsi="Calibri" w:eastAsia="Microsoft YaHei"/>
                <w:b w:val="0"/>
                <w:color w:val="000000"/>
                <w:sz w:val="18"/>
              </w:rPr>
              <w:t>View the associated objective and KR; add comments.</w:t>
            </w:r>
          </w:p>
        </w:tc>
      </w:tr>
      <w:tr>
        <w:tc>
          <w:tcPr>
            <w:tcW w:type="dxa" w:w="2400"/>
          </w:tcPr>
          <w:p>
            <w:pPr>
              <w:spacing w:before="0" w:after="0" w:line="259" w:lineRule="auto"/>
              <w:jc w:val="left"/>
            </w:pPr>
            <w:r/>
            <w:r>
              <w:rPr>
                <w:rFonts w:ascii="Calibri" w:hAnsi="Calibri" w:eastAsia="Microsoft YaHei"/>
                <w:b w:val="0"/>
                <w:color w:val="000000"/>
                <w:sz w:val="18"/>
              </w:rPr>
              <w:t>Department member / leadership</w:t>
            </w:r>
          </w:p>
        </w:tc>
        <w:tc>
          <w:tcPr>
            <w:tcW w:type="dxa" w:w="6960"/>
          </w:tcPr>
          <w:p>
            <w:pPr>
              <w:spacing w:before="0" w:after="0" w:line="259" w:lineRule="auto"/>
              <w:jc w:val="left"/>
            </w:pPr>
            <w:r/>
            <w:r>
              <w:rPr>
                <w:rFonts w:ascii="Calibri" w:hAnsi="Calibri" w:eastAsia="Microsoft YaHei"/>
                <w:b w:val="0"/>
                <w:color w:val="000000"/>
                <w:sz w:val="18"/>
              </w:rPr>
              <w:t>Read and comment only within the existing visibility scope; cannot manage resources created by others.</w:t>
            </w:r>
          </w:p>
        </w:tc>
      </w:tr>
      <w:tr>
        <w:tc>
          <w:tcPr>
            <w:tcW w:type="dxa" w:w="2400"/>
            <w:shd w:fill="FAFBFC"/>
          </w:tcPr>
          <w:p>
            <w:pPr>
              <w:spacing w:before="0" w:after="0" w:line="259" w:lineRule="auto"/>
              <w:jc w:val="left"/>
            </w:pPr>
            <w:r/>
            <w:r>
              <w:rPr>
                <w:rFonts w:ascii="Calibri" w:hAnsi="Calibri" w:eastAsia="Microsoft YaHei"/>
                <w:b w:val="0"/>
                <w:color w:val="000000"/>
                <w:sz w:val="18"/>
              </w:rPr>
              <w:t>Non-administrator</w:t>
            </w:r>
          </w:p>
        </w:tc>
        <w:tc>
          <w:tcPr>
            <w:tcW w:type="dxa" w:w="6960"/>
            <w:shd w:fill="FAFBFC"/>
          </w:tcPr>
          <w:p>
            <w:pPr>
              <w:spacing w:before="0" w:after="0" w:line="259" w:lineRule="auto"/>
              <w:jc w:val="left"/>
            </w:pPr>
            <w:r/>
            <w:r>
              <w:rPr>
                <w:rFonts w:ascii="Calibri" w:hAnsi="Calibri" w:eastAsia="Microsoft YaHei"/>
                <w:b w:val="0"/>
                <w:color w:val="000000"/>
                <w:sz w:val="18"/>
              </w:rPr>
              <w:t>Uses DingTalk authentication only; local username/password login is rejected.</w:t>
            </w:r>
          </w:p>
        </w:tc>
      </w:tr>
    </w:tbl>
    <w:p>
      <w:pPr>
        <w:spacing w:after="40"/>
      </w:pPr>
    </w:p>
    <w:p>
      <w:pPr>
        <w:spacing w:before="0" w:after="120" w:line="264" w:lineRule="auto"/>
      </w:pPr>
      <w:r>
        <w:rPr>
          <w:rFonts w:ascii="Calibri" w:hAnsi="Calibri" w:eastAsia="Microsoft YaHei"/>
          <w:color w:val="1F4D78"/>
          <w:sz w:val="22"/>
        </w:rPr>
        <w:t>For resource IDs outside a user's scope, the API returns 404 to reduce resource enumeration. Access to administrator-only modules returns 403 after server-side role validation.</w:t>
      </w:r>
    </w:p>
    <w:p>
      <w:pPr>
        <w:pStyle w:val="Heading2"/>
      </w:pPr>
      <w:r>
        <w:rPr>
          <w:rFonts w:ascii="Calibri" w:hAnsi="Calibri" w:eastAsia="Microsoft YaHei"/>
          <w:b/>
          <w:color w:val="2E74B5"/>
          <w:sz w:val="26"/>
        </w:rPr>
        <w:t>4.2 Authentication and Session Security</w:t>
      </w:r>
    </w:p>
    <w:p>
      <w:pPr>
        <w:pStyle w:val="ListBullet"/>
        <w:spacing w:after="80" w:line="280" w:lineRule="auto"/>
      </w:pPr>
      <w:r>
        <w:rPr>
          <w:rFonts w:ascii="Calibri" w:hAnsi="Calibri" w:eastAsia="Microsoft YaHei"/>
          <w:color w:val="000000"/>
          <w:sz w:val="22"/>
        </w:rPr>
        <w:t>Only a local super-administrator account may use POST /api/auth/login. Other users authenticate through DingTalk.</w:t>
      </w:r>
    </w:p>
    <w:p>
      <w:pPr>
        <w:pStyle w:val="ListBullet"/>
        <w:spacing w:after="80" w:line="280" w:lineRule="auto"/>
      </w:pPr>
      <w:r>
        <w:rPr>
          <w:rFonts w:ascii="Calibri" w:hAnsi="Calibri" w:eastAsia="Microsoft YaHei"/>
          <w:color w:val="000000"/>
          <w:sz w:val="22"/>
        </w:rPr>
        <w:t>Existing passwords are bcrypt hashes in the database. Legacy AES-based administrator bootstrap handling and hard-coded AES key logic were removed.</w:t>
      </w:r>
    </w:p>
    <w:p>
      <w:pPr>
        <w:pStyle w:val="ListBullet"/>
        <w:spacing w:after="80" w:line="280" w:lineRule="auto"/>
      </w:pPr>
      <w:r>
        <w:rPr>
          <w:rFonts w:ascii="Calibri" w:hAnsi="Calibri" w:eastAsia="Microsoft YaHei"/>
          <w:color w:val="000000"/>
          <w:sz w:val="22"/>
        </w:rPr>
        <w:t>A production deployment requires SESSION_SECRET. There is no fixed fallback secret. The session ID is regenerated after successful local login.</w:t>
      </w:r>
    </w:p>
    <w:p>
      <w:pPr>
        <w:pStyle w:val="ListBullet"/>
        <w:spacing w:after="80" w:line="280" w:lineRule="auto"/>
      </w:pPr>
      <w:r>
        <w:rPr>
          <w:rFonts w:ascii="Calibri" w:hAnsi="Calibri" w:eastAsia="Microsoft YaHei"/>
          <w:color w:val="000000"/>
          <w:sz w:val="22"/>
        </w:rPr>
        <w:t>Login protection applies both IP- and account-dimension rate limiting, with temporary lockout after consecutive failed attempts.</w:t>
      </w:r>
    </w:p>
    <w:p>
      <w:pPr>
        <w:pStyle w:val="ListBullet"/>
        <w:spacing w:after="80" w:line="280" w:lineRule="auto"/>
      </w:pPr>
      <w:r>
        <w:rPr>
          <w:rFonts w:ascii="Calibri" w:hAnsi="Calibri" w:eastAsia="Microsoft YaHei"/>
          <w:color w:val="000000"/>
          <w:sz w:val="22"/>
        </w:rPr>
        <w:t>Production session cookies use Secure, HttpOnly, and SameSite=Lax. Direct TLS mode does not set proxy trust by default.</w:t>
      </w:r>
    </w:p>
    <w:p>
      <w:pPr>
        <w:pStyle w:val="Heading2"/>
      </w:pPr>
      <w:r>
        <w:rPr>
          <w:rFonts w:ascii="Calibri" w:hAnsi="Calibri" w:eastAsia="Microsoft YaHei"/>
          <w:b/>
          <w:color w:val="2E74B5"/>
          <w:sz w:val="26"/>
        </w:rPr>
        <w:t>4.3 Input, Browser, and Response Protections</w:t>
      </w:r>
    </w:p>
    <w:p>
      <w:pPr>
        <w:pStyle w:val="ListBullet"/>
        <w:spacing w:after="80" w:line="280" w:lineRule="auto"/>
      </w:pPr>
      <w:r>
        <w:rPr>
          <w:rFonts w:ascii="Calibri" w:hAnsi="Calibri" w:eastAsia="Microsoft YaHei"/>
          <w:color w:val="000000"/>
          <w:sz w:val="22"/>
        </w:rPr>
        <w:t>Write APIs use Zod DTOs and field whitelists. Checks cover identifiers, dates, role/status values, 0-100 progress, scores, weights, arrays, and import row limits.</w:t>
      </w:r>
    </w:p>
    <w:p>
      <w:pPr>
        <w:pStyle w:val="ListBullet"/>
        <w:spacing w:after="80" w:line="280" w:lineRule="auto"/>
      </w:pPr>
      <w:r>
        <w:rPr>
          <w:rFonts w:ascii="Calibri" w:hAnsi="Calibri" w:eastAsia="Microsoft YaHei"/>
          <w:color w:val="000000"/>
          <w:sz w:val="22"/>
        </w:rPr>
        <w:t>The client obtains the CSRF token through GET /api/auth/csrf-token and attaches it as X-CSRF-Token to state-changing requests.</w:t>
      </w:r>
    </w:p>
    <w:p>
      <w:pPr>
        <w:pStyle w:val="ListBullet"/>
        <w:spacing w:after="80" w:line="280" w:lineRule="auto"/>
      </w:pPr>
      <w:r>
        <w:rPr>
          <w:rFonts w:ascii="Calibri" w:hAnsi="Calibri" w:eastAsia="Microsoft YaHei"/>
          <w:color w:val="000000"/>
          <w:sz w:val="22"/>
        </w:rPr>
        <w:t>Helmet configuration supplies CSP, frame-ancestors, X-Content-Type-Options, Referrer-Policy, and production HSTS. Sensitive pages are marked Cache-Control: no-store.</w:t>
      </w:r>
    </w:p>
    <w:p>
      <w:pPr>
        <w:pStyle w:val="Heading2"/>
      </w:pPr>
      <w:r>
        <w:rPr>
          <w:rFonts w:ascii="Calibri" w:hAnsi="Calibri" w:eastAsia="Microsoft YaHei"/>
          <w:b/>
          <w:color w:val="2E74B5"/>
          <w:sz w:val="26"/>
        </w:rPr>
        <w:t>4.4 Audit and Logging</w:t>
      </w:r>
    </w:p>
    <w:p>
      <w:pPr>
        <w:spacing w:before="0" w:after="120" w:line="264" w:lineRule="auto"/>
      </w:pPr>
      <w:r>
        <w:rPr>
          <w:rFonts w:ascii="Calibri" w:hAnsi="Calibri" w:eastAsia="Microsoft YaHei"/>
          <w:color w:val="000000"/>
          <w:sz w:val="22"/>
        </w:rPr>
        <w:t>Security-relevant operations are written to audit_logs, including login success/failure, logout, password changes, user/role/department/cycle changes, objective and KR operations, progress and scoring, import/export, AI analysis, and bulk data clearing.</w:t>
      </w:r>
    </w:p>
    <w:p>
      <w:pPr>
        <w:spacing w:before="0" w:after="120" w:line="264" w:lineRule="auto"/>
      </w:pPr>
      <w:r>
        <w:rPr>
          <w:rFonts w:ascii="Calibri" w:hAnsi="Calibri" w:eastAsia="Microsoft YaHei"/>
          <w:color w:val="000000"/>
          <w:sz w:val="22"/>
        </w:rPr>
        <w:t>Audit records intentionally exclude passwords, password hashes, session values, CSRF tokens, cookies, full request bodies, certificate paths, and private-key information. Routine request logging is structured and limited to request ID, method, path, status, and duration.</w:t>
      </w:r>
    </w:p>
    <w:p>
      <w:pPr>
        <w:pStyle w:val="Heading1"/>
      </w:pPr>
      <w:r>
        <w:rPr>
          <w:rFonts w:ascii="Calibri" w:hAnsi="Calibri" w:eastAsia="Microsoft YaHei"/>
          <w:b/>
          <w:color w:val="2E74B5"/>
          <w:sz w:val="32"/>
        </w:rPr>
        <w:t>5. HTTPS Deployment Requirements</w:t>
      </w:r>
    </w:p>
    <w:p>
      <w:pPr>
        <w:spacing w:before="0" w:after="120" w:line="264" w:lineRule="auto"/>
      </w:pPr>
      <w:r>
        <w:rPr>
          <w:rFonts w:ascii="Calibri" w:hAnsi="Calibri" w:eastAsia="Microsoft YaHei"/>
          <w:color w:val="000000"/>
          <w:sz w:val="22"/>
        </w:rPr>
        <w:t>The code supports direct Node.js TLS termination. The following items are mandatory for production deployment and are test-environment acceptance prerequisites: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Configuration</w:t>
            </w:r>
          </w:p>
        </w:tc>
        <w:tc>
          <w:tcPr>
            <w:tcW w:type="dxa" w:w="686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Required behavior</w:t>
            </w:r>
          </w:p>
        </w:tc>
      </w:tr>
      <w:tr>
        <w:tc>
          <w:tcPr>
            <w:tcW w:type="dxa" w:w="2500"/>
          </w:tcPr>
          <w:p>
            <w:pPr>
              <w:spacing w:before="0" w:after="0" w:line="259" w:lineRule="auto"/>
              <w:jc w:val="left"/>
            </w:pPr>
            <w:r/>
            <w:r>
              <w:rPr>
                <w:rFonts w:ascii="Calibri" w:hAnsi="Calibri" w:eastAsia="Microsoft YaHei"/>
                <w:b w:val="0"/>
                <w:color w:val="000000"/>
                <w:sz w:val="18"/>
              </w:rPr>
              <w:t>HTTPS_CERT_PATH</w:t>
            </w:r>
          </w:p>
        </w:tc>
        <w:tc>
          <w:tcPr>
            <w:tcW w:type="dxa" w:w="6860"/>
          </w:tcPr>
          <w:p>
            <w:pPr>
              <w:spacing w:before="0" w:after="0" w:line="259" w:lineRule="auto"/>
              <w:jc w:val="left"/>
            </w:pPr>
            <w:r/>
            <w:r>
              <w:rPr>
                <w:rFonts w:ascii="Calibri" w:hAnsi="Calibri" w:eastAsia="Microsoft YaHei"/>
                <w:b w:val="0"/>
                <w:color w:val="000000"/>
                <w:sz w:val="18"/>
              </w:rPr>
              <w:t>Readable PEM full certificate chain.</w:t>
            </w:r>
          </w:p>
        </w:tc>
      </w:tr>
      <w:tr>
        <w:tc>
          <w:tcPr>
            <w:tcW w:type="dxa" w:w="2500"/>
            <w:shd w:fill="FAFBFC"/>
          </w:tcPr>
          <w:p>
            <w:pPr>
              <w:spacing w:before="0" w:after="0" w:line="259" w:lineRule="auto"/>
              <w:jc w:val="left"/>
            </w:pPr>
            <w:r/>
            <w:r>
              <w:rPr>
                <w:rFonts w:ascii="Calibri" w:hAnsi="Calibri" w:eastAsia="Microsoft YaHei"/>
                <w:b w:val="0"/>
                <w:color w:val="000000"/>
                <w:sz w:val="18"/>
              </w:rPr>
              <w:t>HTTPS_KEY_PATH</w:t>
            </w:r>
          </w:p>
        </w:tc>
        <w:tc>
          <w:tcPr>
            <w:tcW w:type="dxa" w:w="6860"/>
            <w:shd w:fill="FAFBFC"/>
          </w:tcPr>
          <w:p>
            <w:pPr>
              <w:spacing w:before="0" w:after="0" w:line="259" w:lineRule="auto"/>
              <w:jc w:val="left"/>
            </w:pPr>
            <w:r/>
            <w:r>
              <w:rPr>
                <w:rFonts w:ascii="Calibri" w:hAnsi="Calibri" w:eastAsia="Microsoft YaHei"/>
                <w:b w:val="0"/>
                <w:color w:val="000000"/>
                <w:sz w:val="18"/>
              </w:rPr>
              <w:t>Readable PEM private key; file permission limited to the process user.</w:t>
            </w:r>
          </w:p>
        </w:tc>
      </w:tr>
      <w:tr>
        <w:tc>
          <w:tcPr>
            <w:tcW w:type="dxa" w:w="2500"/>
          </w:tcPr>
          <w:p>
            <w:pPr>
              <w:spacing w:before="0" w:after="0" w:line="259" w:lineRule="auto"/>
              <w:jc w:val="left"/>
            </w:pPr>
            <w:r/>
            <w:r>
              <w:rPr>
                <w:rFonts w:ascii="Calibri" w:hAnsi="Calibri" w:eastAsia="Microsoft YaHei"/>
                <w:b w:val="0"/>
                <w:color w:val="000000"/>
                <w:sz w:val="18"/>
              </w:rPr>
              <w:t>HTTPS_PORT</w:t>
            </w:r>
          </w:p>
        </w:tc>
        <w:tc>
          <w:tcPr>
            <w:tcW w:type="dxa" w:w="6860"/>
          </w:tcPr>
          <w:p>
            <w:pPr>
              <w:spacing w:before="0" w:after="0" w:line="259" w:lineRule="auto"/>
              <w:jc w:val="left"/>
            </w:pPr>
            <w:r/>
            <w:r>
              <w:rPr>
                <w:rFonts w:ascii="Calibri" w:hAnsi="Calibri" w:eastAsia="Microsoft YaHei"/>
                <w:b w:val="0"/>
                <w:color w:val="000000"/>
                <w:sz w:val="18"/>
              </w:rPr>
              <w:t>HTTPS listener; default 5000.</w:t>
            </w:r>
          </w:p>
        </w:tc>
      </w:tr>
      <w:tr>
        <w:tc>
          <w:tcPr>
            <w:tcW w:type="dxa" w:w="2500"/>
            <w:shd w:fill="FAFBFC"/>
          </w:tcPr>
          <w:p>
            <w:pPr>
              <w:spacing w:before="0" w:after="0" w:line="259" w:lineRule="auto"/>
              <w:jc w:val="left"/>
            </w:pPr>
            <w:r/>
            <w:r>
              <w:rPr>
                <w:rFonts w:ascii="Calibri" w:hAnsi="Calibri" w:eastAsia="Microsoft YaHei"/>
                <w:b w:val="0"/>
                <w:color w:val="000000"/>
                <w:sz w:val="18"/>
              </w:rPr>
              <w:t>HTTP_PORT</w:t>
            </w:r>
          </w:p>
        </w:tc>
        <w:tc>
          <w:tcPr>
            <w:tcW w:type="dxa" w:w="6860"/>
            <w:shd w:fill="FAFBFC"/>
          </w:tcPr>
          <w:p>
            <w:pPr>
              <w:spacing w:before="0" w:after="0" w:line="259" w:lineRule="auto"/>
              <w:jc w:val="left"/>
            </w:pPr>
            <w:r/>
            <w:r>
              <w:rPr>
                <w:rFonts w:ascii="Calibri" w:hAnsi="Calibri" w:eastAsia="Microsoft YaHei"/>
                <w:b w:val="0"/>
                <w:color w:val="000000"/>
                <w:sz w:val="18"/>
              </w:rPr>
              <w:t>HTTP redirect listener; default 5001.</w:t>
            </w:r>
          </w:p>
        </w:tc>
      </w:tr>
      <w:tr>
        <w:tc>
          <w:tcPr>
            <w:tcW w:type="dxa" w:w="2500"/>
          </w:tcPr>
          <w:p>
            <w:pPr>
              <w:spacing w:before="0" w:after="0" w:line="259" w:lineRule="auto"/>
              <w:jc w:val="left"/>
            </w:pPr>
            <w:r/>
            <w:r>
              <w:rPr>
                <w:rFonts w:ascii="Calibri" w:hAnsi="Calibri" w:eastAsia="Microsoft YaHei"/>
                <w:b w:val="0"/>
                <w:color w:val="000000"/>
                <w:sz w:val="18"/>
              </w:rPr>
              <w:t>PUBLIC_HTTPS_ORIGIN</w:t>
            </w:r>
          </w:p>
        </w:tc>
        <w:tc>
          <w:tcPr>
            <w:tcW w:type="dxa" w:w="6860"/>
          </w:tcPr>
          <w:p>
            <w:pPr>
              <w:spacing w:before="0" w:after="0" w:line="259" w:lineRule="auto"/>
              <w:jc w:val="left"/>
            </w:pPr>
            <w:r/>
            <w:r>
              <w:rPr>
                <w:rFonts w:ascii="Calibri" w:hAnsi="Calibri" w:eastAsia="Microsoft YaHei"/>
                <w:b w:val="0"/>
                <w:color w:val="000000"/>
                <w:sz w:val="18"/>
              </w:rPr>
              <w:t>Fixed external HTTPS origin. Redirects must not use the Host header.</w:t>
            </w:r>
          </w:p>
        </w:tc>
      </w:tr>
      <w:tr>
        <w:tc>
          <w:tcPr>
            <w:tcW w:type="dxa" w:w="2500"/>
            <w:shd w:fill="FAFBFC"/>
          </w:tcPr>
          <w:p>
            <w:pPr>
              <w:spacing w:before="0" w:after="0" w:line="259" w:lineRule="auto"/>
              <w:jc w:val="left"/>
            </w:pPr>
            <w:r/>
            <w:r>
              <w:rPr>
                <w:rFonts w:ascii="Calibri" w:hAnsi="Calibri" w:eastAsia="Microsoft YaHei"/>
                <w:b w:val="0"/>
                <w:color w:val="000000"/>
                <w:sz w:val="18"/>
              </w:rPr>
              <w:t>Failure behavior</w:t>
            </w:r>
          </w:p>
        </w:tc>
        <w:tc>
          <w:tcPr>
            <w:tcW w:type="dxa" w:w="6860"/>
            <w:shd w:fill="FAFBFC"/>
          </w:tcPr>
          <w:p>
            <w:pPr>
              <w:spacing w:before="0" w:after="0" w:line="259" w:lineRule="auto"/>
              <w:jc w:val="left"/>
            </w:pPr>
            <w:r/>
            <w:r>
              <w:rPr>
                <w:rFonts w:ascii="Calibri" w:hAnsi="Calibri" w:eastAsia="Microsoft YaHei"/>
                <w:b w:val="0"/>
                <w:color w:val="000000"/>
                <w:sz w:val="18"/>
              </w:rPr>
              <w:t>In production, missing, unreadable, invalid, or mismatched TLS material stops startup; no HTTP fallback.</w:t>
            </w:r>
          </w:p>
        </w:tc>
      </w:tr>
      <w:tr>
        <w:tc>
          <w:tcPr>
            <w:tcW w:type="dxa" w:w="2500"/>
          </w:tcPr>
          <w:p>
            <w:pPr>
              <w:spacing w:before="0" w:after="0" w:line="259" w:lineRule="auto"/>
              <w:jc w:val="center"/>
            </w:pPr>
            <w:r/>
            <w:r>
              <w:rPr>
                <w:rFonts w:ascii="Calibri" w:hAnsi="Calibri" w:eastAsia="Microsoft YaHei"/>
                <w:b w:val="0"/>
                <w:color w:val="000000"/>
                <w:sz w:val="18"/>
              </w:rPr>
              <w:t>Renewal</w:t>
            </w:r>
          </w:p>
        </w:tc>
        <w:tc>
          <w:tcPr>
            <w:tcW w:type="dxa" w:w="6860"/>
          </w:tcPr>
          <w:p>
            <w:pPr>
              <w:spacing w:before="0" w:after="0" w:line="259" w:lineRule="auto"/>
              <w:jc w:val="left"/>
            </w:pPr>
            <w:r/>
            <w:r>
              <w:rPr>
                <w:rFonts w:ascii="Calibri" w:hAnsi="Calibri" w:eastAsia="Microsoft YaHei"/>
                <w:b w:val="0"/>
                <w:color w:val="000000"/>
                <w:sz w:val="18"/>
              </w:rPr>
              <w:t>After certificate renewal, run pm2 reload okr-platform; in-process hot certificate reload is not used.</w:t>
            </w:r>
          </w:p>
        </w:tc>
      </w:tr>
    </w:tbl>
    <w:p>
      <w:pPr>
        <w:spacing w:after="40"/>
      </w:pPr>
    </w:p>
    <w:p>
      <w:pPr>
        <w:pStyle w:val="Heading1"/>
      </w:pPr>
      <w:r>
        <w:rPr>
          <w:rFonts w:ascii="Calibri" w:hAnsi="Calibri" w:eastAsia="Microsoft YaHei"/>
          <w:b/>
          <w:color w:val="2E74B5"/>
          <w:sz w:val="32"/>
        </w:rPr>
        <w:t>6. Test Regression Checklist</w:t>
      </w:r>
    </w:p>
    <w:p>
      <w:pPr>
        <w:pStyle w:val="Heading2"/>
      </w:pPr>
      <w:r>
        <w:rPr>
          <w:rFonts w:ascii="Calibri" w:hAnsi="Calibri" w:eastAsia="Microsoft YaHei"/>
          <w:b/>
          <w:color w:val="2E74B5"/>
          <w:sz w:val="26"/>
        </w:rPr>
        <w:t>6.1 Authorization</w:t>
      </w:r>
    </w:p>
    <w:p>
      <w:pPr>
        <w:pStyle w:val="ListNumber"/>
        <w:spacing w:after="80" w:line="280" w:lineRule="auto"/>
      </w:pPr>
      <w:r>
        <w:rPr>
          <w:rFonts w:ascii="Calibri" w:hAnsi="Calibri" w:eastAsia="Microsoft YaHei"/>
          <w:color w:val="000000"/>
          <w:sz w:val="22"/>
        </w:rPr>
        <w:t>Use accounts for super administrator, objective creator, KR assignee, collaborator, same-department reader, and cross-department reader.</w:t>
      </w:r>
    </w:p>
    <w:p>
      <w:pPr>
        <w:pStyle w:val="ListNumber"/>
        <w:spacing w:after="80" w:line="280" w:lineRule="auto"/>
      </w:pPr>
      <w:r>
        <w:rPr>
          <w:rFonts w:ascii="Calibri" w:hAnsi="Calibri" w:eastAsia="Microsoft YaHei"/>
          <w:color w:val="000000"/>
          <w:sz w:val="22"/>
        </w:rPr>
        <w:t>Tamper objectiveId, KR ID, comment ID, notification ID, and reorder request IDs. Confirm cross-scope write/delete is rejected and cross-scope resource lookup returns 404.</w:t>
      </w:r>
    </w:p>
    <w:p>
      <w:pPr>
        <w:pStyle w:val="ListNumber"/>
        <w:spacing w:after="80" w:line="280" w:lineRule="auto"/>
      </w:pPr>
      <w:r>
        <w:rPr>
          <w:rFonts w:ascii="Calibri" w:hAnsi="Calibri" w:eastAsia="Microsoft YaHei"/>
          <w:color w:val="000000"/>
          <w:sz w:val="22"/>
        </w:rPr>
        <w:t>Confirm a KR assignee cannot modify another person's KR, objective creator, department, collaborator scope, or ordering outside their managed objective.</w:t>
      </w:r>
    </w:p>
    <w:p>
      <w:pPr>
        <w:pStyle w:val="ListNumber"/>
        <w:spacing w:after="80" w:line="280" w:lineRule="auto"/>
      </w:pPr>
      <w:r>
        <w:rPr>
          <w:rFonts w:ascii="Calibri" w:hAnsi="Calibri" w:eastAsia="Microsoft YaHei"/>
          <w:color w:val="000000"/>
          <w:sz w:val="22"/>
        </w:rPr>
        <w:t>Confirm notification read status can only be changed by the receiving user; only comment author or super administrator can delete a comment.</w:t>
      </w:r>
    </w:p>
    <w:p>
      <w:pPr>
        <w:pStyle w:val="ListNumber"/>
        <w:spacing w:after="80" w:line="280" w:lineRule="auto"/>
      </w:pPr>
      <w:r>
        <w:rPr>
          <w:rFonts w:ascii="Calibri" w:hAnsi="Calibri" w:eastAsia="Microsoft YaHei"/>
          <w:color w:val="000000"/>
          <w:sz w:val="22"/>
        </w:rPr>
        <w:t>Pass an arbitrary department parameter to AI analysis/ranking. Confirm results are limited to the current user's visible objectives.</w:t>
      </w:r>
    </w:p>
    <w:p>
      <w:pPr>
        <w:pStyle w:val="Heading2"/>
      </w:pPr>
      <w:r>
        <w:rPr>
          <w:rFonts w:ascii="Calibri" w:hAnsi="Calibri" w:eastAsia="Microsoft YaHei"/>
          <w:b/>
          <w:color w:val="2E74B5"/>
          <w:sz w:val="26"/>
        </w:rPr>
        <w:t>6.2 Authentication and Browser Security</w:t>
      </w:r>
    </w:p>
    <w:p>
      <w:pPr>
        <w:pStyle w:val="ListNumber"/>
        <w:spacing w:after="80" w:line="280" w:lineRule="auto"/>
      </w:pPr>
      <w:r>
        <w:rPr>
          <w:rFonts w:ascii="Calibri" w:hAnsi="Calibri" w:eastAsia="Microsoft YaHei"/>
          <w:color w:val="000000"/>
          <w:sz w:val="22"/>
        </w:rPr>
        <w:t>Attempt local password login for a non-administrator. Confirm a generic credential failure response.</w:t>
      </w:r>
    </w:p>
    <w:p>
      <w:pPr>
        <w:pStyle w:val="ListNumber"/>
        <w:spacing w:after="80" w:line="280" w:lineRule="auto"/>
      </w:pPr>
      <w:r>
        <w:rPr>
          <w:rFonts w:ascii="Calibri" w:hAnsi="Calibri" w:eastAsia="Microsoft YaHei"/>
          <w:color w:val="000000"/>
          <w:sz w:val="22"/>
        </w:rPr>
        <w:t>Attempt weak administrator password changes. Confirm policy rejection. Attempt repeated failures by account and IP; confirm temporary lockout.</w:t>
      </w:r>
    </w:p>
    <w:p>
      <w:pPr>
        <w:pStyle w:val="ListNumber"/>
        <w:spacing w:after="80" w:line="280" w:lineRule="auto"/>
      </w:pPr>
      <w:r>
        <w:rPr>
          <w:rFonts w:ascii="Calibri" w:hAnsi="Calibri" w:eastAsia="Microsoft YaHei"/>
          <w:color w:val="000000"/>
          <w:sz w:val="22"/>
        </w:rPr>
        <w:t>Verify successful login changes the session identifier. Verify cookies have Secure, HttpOnly, and SameSite=Lax in production HTTPS mode.</w:t>
      </w:r>
    </w:p>
    <w:p>
      <w:pPr>
        <w:pStyle w:val="ListNumber"/>
        <w:spacing w:after="80" w:line="280" w:lineRule="auto"/>
      </w:pPr>
      <w:r>
        <w:rPr>
          <w:rFonts w:ascii="Calibri" w:hAnsi="Calibri" w:eastAsia="Microsoft YaHei"/>
          <w:color w:val="000000"/>
          <w:sz w:val="22"/>
        </w:rPr>
        <w:t>Send state-changing requests without X-CSRF-Token, with an invalid token, and from a non-whitelisted Origin. Confirm rejection.</w:t>
      </w:r>
    </w:p>
    <w:p>
      <w:pPr>
        <w:pStyle w:val="ListNumber"/>
        <w:spacing w:after="80" w:line="280" w:lineRule="auto"/>
      </w:pPr>
      <w:r>
        <w:rPr>
          <w:rFonts w:ascii="Calibri" w:hAnsi="Calibri" w:eastAsia="Microsoft YaHei"/>
          <w:color w:val="000000"/>
          <w:sz w:val="22"/>
        </w:rPr>
        <w:t>Verify response headers include CSP, anti-framing, X-Content-Type-Options, Referrer-Policy, and HSTS in production.</w:t>
      </w:r>
    </w:p>
    <w:p>
      <w:pPr>
        <w:pStyle w:val="Heading2"/>
      </w:pPr>
      <w:r>
        <w:rPr>
          <w:rFonts w:ascii="Calibri" w:hAnsi="Calibri" w:eastAsia="Microsoft YaHei"/>
          <w:b/>
          <w:color w:val="2E74B5"/>
          <w:sz w:val="26"/>
        </w:rPr>
        <w:t>6.3 TLS and Operations</w:t>
      </w:r>
    </w:p>
    <w:p>
      <w:pPr>
        <w:pStyle w:val="ListNumber"/>
        <w:spacing w:after="80" w:line="280" w:lineRule="auto"/>
      </w:pPr>
      <w:r>
        <w:rPr>
          <w:rFonts w:ascii="Calibri" w:hAnsi="Calibri" w:eastAsia="Microsoft YaHei"/>
          <w:color w:val="000000"/>
          <w:sz w:val="22"/>
        </w:rPr>
        <w:t>Start production mode with a valid PEM certificate/key pair; verify direct HTTPS login and API behavior.</w:t>
      </w:r>
    </w:p>
    <w:p>
      <w:pPr>
        <w:pStyle w:val="ListNumber"/>
        <w:spacing w:after="80" w:line="280" w:lineRule="auto"/>
      </w:pPr>
      <w:r>
        <w:rPr>
          <w:rFonts w:ascii="Calibri" w:hAnsi="Calibri" w:eastAsia="Microsoft YaHei"/>
          <w:color w:val="000000"/>
          <w:sz w:val="22"/>
        </w:rPr>
        <w:t>Verify startup fails for missing certificate, missing key, unreadable file, invalid PEM, and mismatched certificate/key.</w:t>
      </w:r>
    </w:p>
    <w:p>
      <w:pPr>
        <w:pStyle w:val="ListNumber"/>
        <w:spacing w:after="80" w:line="280" w:lineRule="auto"/>
      </w:pPr>
      <w:r>
        <w:rPr>
          <w:rFonts w:ascii="Calibri" w:hAnsi="Calibri" w:eastAsia="Microsoft YaHei"/>
          <w:color w:val="000000"/>
          <w:sz w:val="22"/>
        </w:rPr>
        <w:t>Verify TLS 1.0 and 1.1 are rejected. Verify HTTP returns a 308 redirect preserving path and query parameters.</w:t>
      </w:r>
    </w:p>
    <w:p>
      <w:pPr>
        <w:pStyle w:val="ListNumber"/>
        <w:spacing w:after="80" w:line="280" w:lineRule="auto"/>
      </w:pPr>
      <w:r>
        <w:rPr>
          <w:rFonts w:ascii="Calibri" w:hAnsi="Calibri" w:eastAsia="Microsoft YaHei"/>
          <w:color w:val="000000"/>
          <w:sz w:val="22"/>
        </w:rPr>
        <w:t>Verify Host-header injection does not alter the redirect target. Verify pm2 reload okr-platform loads renewed certificate material.</w:t>
      </w:r>
    </w:p>
    <w:p>
      <w:pPr>
        <w:pStyle w:val="ListNumber"/>
        <w:spacing w:after="80" w:line="280" w:lineRule="auto"/>
      </w:pPr>
      <w:r>
        <w:rPr>
          <w:rFonts w:ascii="Calibri" w:hAnsi="Calibri" w:eastAsia="Microsoft YaHei"/>
          <w:color w:val="000000"/>
          <w:sz w:val="22"/>
        </w:rPr>
        <w:t>Verify audit records are created for login, password change, user/role changes, objective/KR changes, import/export, AI analysis, and data clear operations; verify sensitive values are absent.</w:t>
      </w:r>
    </w:p>
    <w:p>
      <w:pPr>
        <w:pStyle w:val="Heading1"/>
      </w:pPr>
      <w:r>
        <w:rPr>
          <w:rFonts w:ascii="Calibri" w:hAnsi="Calibri" w:eastAsia="Microsoft YaHei"/>
          <w:b/>
          <w:color w:val="2E74B5"/>
          <w:sz w:val="32"/>
        </w:rPr>
        <w:t>7. Release Conditions and Open Items</w:t>
      </w:r>
    </w:p>
    <w:tbl>
      <w:tblPr>
        <w:tblStyle w:val="TableGrid"/>
        <w:tblW w:type="dxa" w:w="9360"/>
        <w:jc w:val="left"/>
        <w:tblLayout w:type="fixed"/>
        <w:tblLook w:firstColumn="1" w:firstRow="1" w:lastColumn="0" w:lastRow="0" w:noHBand="0" w:noVBand="1" w:val="04A0"/>
        <w:tblInd w:w="120" w:type="dxa"/>
      </w:tblPr>
      <w:tblGrid>
        <w:gridCol w:w="3300"/>
        <w:gridCol w:w="1600"/>
        <w:gridCol w:w="4460"/>
      </w:tblGrid>
      <w:tr>
        <w:tc>
          <w:tcPr>
            <w:tcW w:type="dxa" w:w="33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Release condition</w:t>
            </w:r>
          </w:p>
        </w:tc>
        <w:tc>
          <w:tcPr>
            <w:tcW w:type="dxa" w:w="16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Owner</w:t>
            </w:r>
          </w:p>
        </w:tc>
        <w:tc>
          <w:tcPr>
            <w:tcW w:type="dxa" w:w="446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Required evidence</w:t>
            </w:r>
          </w:p>
        </w:tc>
      </w:tr>
      <w:tr>
        <w:tc>
          <w:tcPr>
            <w:tcW w:type="dxa" w:w="3300"/>
          </w:tcPr>
          <w:p>
            <w:pPr>
              <w:spacing w:before="0" w:after="0" w:line="259" w:lineRule="auto"/>
              <w:jc w:val="left"/>
            </w:pPr>
            <w:r/>
            <w:r>
              <w:rPr>
                <w:rFonts w:ascii="Calibri" w:hAnsi="Calibri" w:eastAsia="Microsoft YaHei"/>
                <w:b w:val="0"/>
                <w:color w:val="000000"/>
                <w:sz w:val="18"/>
              </w:rPr>
              <w:t>Complete multi-role security regression in test environment</w:t>
            </w:r>
          </w:p>
        </w:tc>
        <w:tc>
          <w:tcPr>
            <w:tcW w:type="dxa" w:w="1600"/>
          </w:tcPr>
          <w:p>
            <w:pPr>
              <w:spacing w:before="0" w:after="0" w:line="259" w:lineRule="auto"/>
              <w:jc w:val="center"/>
            </w:pPr>
            <w:r/>
            <w:r>
              <w:rPr>
                <w:rFonts w:ascii="Calibri" w:hAnsi="Calibri" w:eastAsia="Microsoft YaHei"/>
                <w:b w:val="0"/>
                <w:color w:val="000000"/>
                <w:sz w:val="18"/>
              </w:rPr>
              <w:t>Test</w:t>
            </w:r>
          </w:p>
        </w:tc>
        <w:tc>
          <w:tcPr>
            <w:tcW w:type="dxa" w:w="4460"/>
          </w:tcPr>
          <w:p>
            <w:pPr>
              <w:spacing w:before="0" w:after="0" w:line="259" w:lineRule="auto"/>
              <w:jc w:val="left"/>
            </w:pPr>
            <w:r/>
            <w:r>
              <w:rPr>
                <w:rFonts w:ascii="Calibri" w:hAnsi="Calibri" w:eastAsia="Microsoft YaHei"/>
                <w:b w:val="0"/>
                <w:color w:val="000000"/>
                <w:sz w:val="18"/>
              </w:rPr>
              <w:t>Executed checklist, API request/response evidence, and defect closure record.</w:t>
            </w:r>
          </w:p>
        </w:tc>
      </w:tr>
      <w:tr>
        <w:tc>
          <w:tcPr>
            <w:tcW w:type="dxa" w:w="3300"/>
            <w:shd w:fill="FAFBFC"/>
          </w:tcPr>
          <w:p>
            <w:pPr>
              <w:spacing w:before="0" w:after="0" w:line="259" w:lineRule="auto"/>
              <w:jc w:val="left"/>
            </w:pPr>
            <w:r/>
            <w:r>
              <w:rPr>
                <w:rFonts w:ascii="Calibri" w:hAnsi="Calibri" w:eastAsia="Microsoft YaHei"/>
                <w:b w:val="0"/>
                <w:color w:val="000000"/>
                <w:sz w:val="18"/>
              </w:rPr>
              <w:t>Deploy TLS certificates and production variables</w:t>
            </w:r>
          </w:p>
        </w:tc>
        <w:tc>
          <w:tcPr>
            <w:tcW w:type="dxa" w:w="1600"/>
            <w:shd w:fill="FAFBFC"/>
          </w:tcPr>
          <w:p>
            <w:pPr>
              <w:spacing w:before="0" w:after="0" w:line="259" w:lineRule="auto"/>
              <w:jc w:val="left"/>
            </w:pPr>
            <w:r/>
            <w:r>
              <w:rPr>
                <w:rFonts w:ascii="Calibri" w:hAnsi="Calibri" w:eastAsia="Microsoft YaHei"/>
                <w:b w:val="0"/>
                <w:color w:val="000000"/>
                <w:sz w:val="18"/>
              </w:rPr>
              <w:t>Operations</w:t>
            </w:r>
          </w:p>
        </w:tc>
        <w:tc>
          <w:tcPr>
            <w:tcW w:type="dxa" w:w="4460"/>
            <w:shd w:fill="FAFBFC"/>
          </w:tcPr>
          <w:p>
            <w:pPr>
              <w:spacing w:before="0" w:after="0" w:line="259" w:lineRule="auto"/>
              <w:jc w:val="left"/>
            </w:pPr>
            <w:r/>
            <w:r>
              <w:rPr>
                <w:rFonts w:ascii="Calibri" w:hAnsi="Calibri" w:eastAsia="Microsoft YaHei"/>
                <w:b w:val="0"/>
                <w:color w:val="000000"/>
                <w:sz w:val="18"/>
              </w:rPr>
              <w:t>PM2 configuration, restricted certificate file permissions, HTTPS endpoint evidence.</w:t>
            </w:r>
          </w:p>
        </w:tc>
      </w:tr>
      <w:tr>
        <w:tc>
          <w:tcPr>
            <w:tcW w:type="dxa" w:w="3300"/>
          </w:tcPr>
          <w:p>
            <w:pPr>
              <w:spacing w:before="0" w:after="0" w:line="259" w:lineRule="auto"/>
              <w:jc w:val="left"/>
            </w:pPr>
            <w:r/>
            <w:r>
              <w:rPr>
                <w:rFonts w:ascii="Calibri" w:hAnsi="Calibri" w:eastAsia="Microsoft YaHei"/>
                <w:b w:val="0"/>
                <w:color w:val="000000"/>
                <w:sz w:val="18"/>
              </w:rPr>
              <w:t>Rotate exposed credentials and remove legacy secrets</w:t>
            </w:r>
          </w:p>
        </w:tc>
        <w:tc>
          <w:tcPr>
            <w:tcW w:type="dxa" w:w="1600"/>
          </w:tcPr>
          <w:p>
            <w:pPr>
              <w:spacing w:before="0" w:after="0" w:line="259" w:lineRule="auto"/>
              <w:jc w:val="left"/>
            </w:pPr>
            <w:r/>
            <w:r>
              <w:rPr>
                <w:rFonts w:ascii="Calibri" w:hAnsi="Calibri" w:eastAsia="Microsoft YaHei"/>
                <w:b w:val="0"/>
                <w:color w:val="000000"/>
                <w:sz w:val="18"/>
              </w:rPr>
              <w:t>Operations / Administrator</w:t>
            </w:r>
          </w:p>
        </w:tc>
        <w:tc>
          <w:tcPr>
            <w:tcW w:type="dxa" w:w="4460"/>
          </w:tcPr>
          <w:p>
            <w:pPr>
              <w:spacing w:before="0" w:after="0" w:line="259" w:lineRule="auto"/>
              <w:jc w:val="left"/>
            </w:pPr>
            <w:r/>
            <w:r>
              <w:rPr>
                <w:rFonts w:ascii="Calibri" w:hAnsi="Calibri" w:eastAsia="Microsoft YaHei"/>
                <w:b w:val="0"/>
                <w:color w:val="000000"/>
                <w:sz w:val="18"/>
              </w:rPr>
              <w:t>New secrets recorded in secret management; legacy AES bootstrap value removed; sessions invalidated after rotation.</w:t>
            </w:r>
          </w:p>
        </w:tc>
      </w:tr>
      <w:tr>
        <w:tc>
          <w:tcPr>
            <w:tcW w:type="dxa" w:w="3300"/>
            <w:shd w:fill="FAFBFC"/>
          </w:tcPr>
          <w:p>
            <w:pPr>
              <w:spacing w:before="0" w:after="0" w:line="259" w:lineRule="auto"/>
              <w:jc w:val="left"/>
            </w:pPr>
            <w:r/>
            <w:r>
              <w:rPr>
                <w:rFonts w:ascii="Calibri" w:hAnsi="Calibri" w:eastAsia="Microsoft YaHei"/>
                <w:b w:val="0"/>
                <w:color w:val="000000"/>
                <w:sz w:val="18"/>
              </w:rPr>
              <w:t>Verify audit retention job and monitoring</w:t>
            </w:r>
          </w:p>
        </w:tc>
        <w:tc>
          <w:tcPr>
            <w:tcW w:type="dxa" w:w="1600"/>
            <w:shd w:fill="FAFBFC"/>
          </w:tcPr>
          <w:p>
            <w:pPr>
              <w:spacing w:before="0" w:after="0" w:line="259" w:lineRule="auto"/>
              <w:jc w:val="left"/>
            </w:pPr>
            <w:r/>
            <w:r>
              <w:rPr>
                <w:rFonts w:ascii="Calibri" w:hAnsi="Calibri" w:eastAsia="Microsoft YaHei"/>
                <w:b w:val="0"/>
                <w:color w:val="000000"/>
                <w:sz w:val="18"/>
              </w:rPr>
              <w:t>Backend / Operations</w:t>
            </w:r>
          </w:p>
        </w:tc>
        <w:tc>
          <w:tcPr>
            <w:tcW w:type="dxa" w:w="4460"/>
            <w:shd w:fill="FAFBFC"/>
          </w:tcPr>
          <w:p>
            <w:pPr>
              <w:spacing w:before="0" w:after="0" w:line="259" w:lineRule="auto"/>
              <w:jc w:val="left"/>
            </w:pPr>
            <w:r/>
            <w:r>
              <w:rPr>
                <w:rFonts w:ascii="Calibri" w:hAnsi="Calibri" w:eastAsia="Microsoft YaHei"/>
                <w:b w:val="0"/>
                <w:color w:val="000000"/>
                <w:sz w:val="18"/>
              </w:rPr>
              <w:t>180-day cleanup job record and monitoring alerts for TLS startup failure, login failures, authorization denials, exceptions, and audit-write failures.</w:t>
            </w:r>
          </w:p>
        </w:tc>
      </w:tr>
      <w:tr>
        <w:tc>
          <w:tcPr>
            <w:tcW w:type="dxa" w:w="3300"/>
          </w:tcPr>
          <w:p>
            <w:pPr>
              <w:spacing w:before="0" w:after="0" w:line="259" w:lineRule="auto"/>
              <w:jc w:val="left"/>
            </w:pPr>
            <w:r/>
            <w:r>
              <w:rPr>
                <w:rFonts w:ascii="Calibri" w:hAnsi="Calibri" w:eastAsia="Microsoft YaHei"/>
                <w:b w:val="0"/>
                <w:color w:val="000000"/>
                <w:sz w:val="18"/>
              </w:rPr>
              <w:t>Review third-party dependency findings</w:t>
            </w:r>
          </w:p>
        </w:tc>
        <w:tc>
          <w:tcPr>
            <w:tcW w:type="dxa" w:w="1600"/>
          </w:tcPr>
          <w:p>
            <w:pPr>
              <w:spacing w:before="0" w:after="0" w:line="259" w:lineRule="auto"/>
              <w:jc w:val="center"/>
            </w:pPr>
            <w:r/>
            <w:r>
              <w:rPr>
                <w:rFonts w:ascii="Calibri" w:hAnsi="Calibri" w:eastAsia="Microsoft YaHei"/>
                <w:b w:val="0"/>
                <w:color w:val="000000"/>
                <w:sz w:val="18"/>
              </w:rPr>
              <w:t>Backend</w:t>
            </w:r>
          </w:p>
        </w:tc>
        <w:tc>
          <w:tcPr>
            <w:tcW w:type="dxa" w:w="4460"/>
          </w:tcPr>
          <w:p>
            <w:pPr>
              <w:spacing w:before="0" w:after="0" w:line="259" w:lineRule="auto"/>
              <w:jc w:val="left"/>
            </w:pPr>
            <w:r/>
            <w:r>
              <w:rPr>
                <w:rFonts w:ascii="Calibri" w:hAnsi="Calibri" w:eastAsia="Microsoft YaHei"/>
                <w:b w:val="0"/>
                <w:color w:val="000000"/>
                <w:sz w:val="18"/>
              </w:rPr>
              <w:t>Dependency upgrade/mitigation plan; document residual risk for packages without an upstream fix.</w:t>
            </w:r>
          </w:p>
        </w:tc>
      </w:tr>
    </w:tbl>
    <w:p>
      <w:pPr>
        <w:spacing w:after="40"/>
      </w:pPr>
    </w:p>
    <w:p>
      <w:pPr>
        <w:spacing w:before="0" w:after="120" w:line="264" w:lineRule="auto"/>
      </w:pPr>
      <w:r>
        <w:rPr>
          <w:rFonts w:ascii="Calibri" w:hAnsi="Calibri" w:eastAsia="Microsoft YaHei"/>
          <w:b/>
          <w:color w:val="9B1C1C"/>
          <w:sz w:val="22"/>
        </w:rPr>
        <w:t>The application must not be released to production</w:t>
      </w:r>
      <w:r>
        <w:rPr>
          <w:rFonts w:ascii="Calibri" w:hAnsi="Calibri" w:eastAsia="Microsoft YaHei"/>
          <w:color w:val="9B1C1C"/>
          <w:sz w:val="22"/>
        </w:rPr>
        <w:t xml:space="preserve"> until the above release conditions are completed and the security test team issues a passed retest result.</w:t>
      </w:r>
    </w:p>
    <w:p>
      <w:pPr>
        <w:pStyle w:val="Heading1"/>
      </w:pPr>
      <w:r>
        <w:rPr>
          <w:rFonts w:ascii="Calibri" w:hAnsi="Calibri" w:eastAsia="Microsoft YaHei"/>
          <w:b/>
          <w:color w:val="2E74B5"/>
          <w:sz w:val="32"/>
        </w:rPr>
        <w:t>8. Appendix: Test-Facing API Changes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Interface / behavior</w:t>
            </w:r>
          </w:p>
        </w:tc>
        <w:tc>
          <w:tcPr>
            <w:tcW w:type="dxa" w:w="6360"/>
            <w:tcMar>
              <w:top w:w="80" w:type="dxa"/>
              <w:start w:w="120" w:type="dxa"/>
              <w:bottom w:w="80" w:type="dxa"/>
              <w:end w:w="120" w:type="dxa"/>
            </w:tcMar>
            <w:vAlign w:val="center"/>
            <w:shd w:fill="E8EEF5"/>
          </w:tcPr>
          <w:p>
            <w:pPr>
              <w:spacing w:before="0" w:after="0" w:line="259" w:lineRule="auto"/>
              <w:jc w:val="center"/>
            </w:pPr>
            <w:r/>
            <w:r>
              <w:rPr>
                <w:rFonts w:ascii="Calibri" w:hAnsi="Calibri" w:eastAsia="Microsoft YaHei"/>
                <w:b/>
                <w:color w:val="1F4D78"/>
                <w:sz w:val="18"/>
              </w:rPr>
              <w:t>Test expectation</w:t>
            </w:r>
          </w:p>
        </w:tc>
      </w:tr>
      <w:tr>
        <w:tc>
          <w:tcPr>
            <w:tcW w:type="dxa" w:w="3000"/>
          </w:tcPr>
          <w:p>
            <w:pPr>
              <w:spacing w:before="0" w:after="0" w:line="259" w:lineRule="auto"/>
              <w:jc w:val="left"/>
            </w:pPr>
            <w:r/>
            <w:r>
              <w:rPr>
                <w:rFonts w:ascii="Calibri" w:hAnsi="Calibri" w:eastAsia="Microsoft YaHei"/>
                <w:b w:val="0"/>
                <w:color w:val="000000"/>
                <w:sz w:val="18"/>
              </w:rPr>
              <w:t>GET /api/auth/csrf-token</w:t>
            </w:r>
          </w:p>
        </w:tc>
        <w:tc>
          <w:tcPr>
            <w:tcW w:type="dxa" w:w="6360"/>
          </w:tcPr>
          <w:p>
            <w:pPr>
              <w:spacing w:before="0" w:after="0" w:line="259" w:lineRule="auto"/>
              <w:jc w:val="left"/>
            </w:pPr>
            <w:r/>
            <w:r>
              <w:rPr>
                <w:rFonts w:ascii="Calibri" w:hAnsi="Calibri" w:eastAsia="Microsoft YaHei"/>
                <w:b w:val="0"/>
                <w:color w:val="000000"/>
                <w:sz w:val="18"/>
              </w:rPr>
              <w:t>Returns the current session's CSRF token.</w:t>
            </w:r>
          </w:p>
        </w:tc>
      </w:tr>
      <w:tr>
        <w:tc>
          <w:tcPr>
            <w:tcW w:type="dxa" w:w="3000"/>
            <w:shd w:fill="FAFBFC"/>
          </w:tcPr>
          <w:p>
            <w:pPr>
              <w:spacing w:before="0" w:after="0" w:line="259" w:lineRule="auto"/>
              <w:jc w:val="left"/>
            </w:pPr>
            <w:r/>
            <w:r>
              <w:rPr>
                <w:rFonts w:ascii="Calibri" w:hAnsi="Calibri" w:eastAsia="Microsoft YaHei"/>
                <w:b w:val="0"/>
                <w:color w:val="000000"/>
                <w:sz w:val="18"/>
              </w:rPr>
              <w:t>POST /api/auth/login</w:t>
            </w:r>
          </w:p>
        </w:tc>
        <w:tc>
          <w:tcPr>
            <w:tcW w:type="dxa" w:w="6360"/>
            <w:shd w:fill="FAFBFC"/>
          </w:tcPr>
          <w:p>
            <w:pPr>
              <w:spacing w:before="0" w:after="0" w:line="259" w:lineRule="auto"/>
              <w:jc w:val="left"/>
            </w:pPr>
            <w:r/>
            <w:r>
              <w:rPr>
                <w:rFonts w:ascii="Calibri" w:hAnsi="Calibri" w:eastAsia="Microsoft YaHei"/>
                <w:b w:val="0"/>
                <w:color w:val="000000"/>
                <w:sz w:val="18"/>
              </w:rPr>
              <w:t>Local login is accepted only for a local super administrator; invalid credentials produce a generic failure response.</w:t>
            </w:r>
          </w:p>
        </w:tc>
      </w:tr>
      <w:tr>
        <w:tc>
          <w:tcPr>
            <w:tcW w:type="dxa" w:w="3000"/>
          </w:tcPr>
          <w:p>
            <w:pPr>
              <w:spacing w:before="0" w:after="0" w:line="259" w:lineRule="auto"/>
              <w:jc w:val="left"/>
            </w:pPr>
            <w:r/>
            <w:r>
              <w:rPr>
                <w:rFonts w:ascii="Calibri" w:hAnsi="Calibri" w:eastAsia="Microsoft YaHei"/>
                <w:b w:val="0"/>
                <w:color w:val="000000"/>
                <w:sz w:val="18"/>
              </w:rPr>
              <w:t>GET /api/auth/me</w:t>
            </w:r>
          </w:p>
        </w:tc>
        <w:tc>
          <w:tcPr>
            <w:tcW w:type="dxa" w:w="6360"/>
          </w:tcPr>
          <w:p>
            <w:pPr>
              <w:spacing w:before="0" w:after="0" w:line="259" w:lineRule="auto"/>
              <w:jc w:val="left"/>
            </w:pPr>
            <w:r/>
            <w:r>
              <w:rPr>
                <w:rFonts w:ascii="Calibri" w:hAnsi="Calibri" w:eastAsia="Microsoft YaHei"/>
                <w:b w:val="0"/>
                <w:color w:val="000000"/>
                <w:sz w:val="18"/>
              </w:rPr>
              <w:t>Returns authProvider and excludes password-related fields.</w:t>
            </w:r>
          </w:p>
        </w:tc>
      </w:tr>
      <w:tr>
        <w:tc>
          <w:tcPr>
            <w:tcW w:type="dxa" w:w="3000"/>
            <w:shd w:fill="FAFBFC"/>
          </w:tcPr>
          <w:p>
            <w:pPr>
              <w:spacing w:before="0" w:after="0" w:line="259" w:lineRule="auto"/>
              <w:jc w:val="left"/>
            </w:pPr>
            <w:r/>
            <w:r>
              <w:rPr>
                <w:rFonts w:ascii="Calibri" w:hAnsi="Calibri" w:eastAsia="Microsoft YaHei"/>
                <w:b w:val="0"/>
                <w:color w:val="000000"/>
                <w:sz w:val="18"/>
              </w:rPr>
              <w:t>State-changing APIs</w:t>
            </w:r>
          </w:p>
        </w:tc>
        <w:tc>
          <w:tcPr>
            <w:tcW w:type="dxa" w:w="6360"/>
            <w:shd w:fill="FAFBFC"/>
          </w:tcPr>
          <w:p>
            <w:pPr>
              <w:spacing w:before="0" w:after="0" w:line="259" w:lineRule="auto"/>
              <w:jc w:val="left"/>
            </w:pPr>
            <w:r/>
            <w:r>
              <w:rPr>
                <w:rFonts w:ascii="Calibri" w:hAnsi="Calibri" w:eastAsia="Microsoft YaHei"/>
                <w:b w:val="0"/>
                <w:color w:val="000000"/>
                <w:sz w:val="18"/>
              </w:rPr>
              <w:t>Require X-CSRF-Token and accepted Origin; reject unknown payload fields.</w:t>
            </w:r>
          </w:p>
        </w:tc>
      </w:tr>
      <w:tr>
        <w:tc>
          <w:tcPr>
            <w:tcW w:type="dxa" w:w="3000"/>
          </w:tcPr>
          <w:p>
            <w:pPr>
              <w:spacing w:before="0" w:after="0" w:line="259" w:lineRule="auto"/>
              <w:jc w:val="left"/>
            </w:pPr>
            <w:r/>
            <w:r>
              <w:rPr>
                <w:rFonts w:ascii="Calibri" w:hAnsi="Calibri" w:eastAsia="Microsoft YaHei"/>
                <w:b w:val="0"/>
                <w:color w:val="000000"/>
                <w:sz w:val="18"/>
              </w:rPr>
              <w:t>Resource authorization</w:t>
            </w:r>
          </w:p>
        </w:tc>
        <w:tc>
          <w:tcPr>
            <w:tcW w:type="dxa" w:w="6360"/>
          </w:tcPr>
          <w:p>
            <w:pPr>
              <w:spacing w:before="0" w:after="0" w:line="259" w:lineRule="auto"/>
              <w:jc w:val="left"/>
            </w:pPr>
            <w:r/>
            <w:r>
              <w:rPr>
                <w:rFonts w:ascii="Calibri" w:hAnsi="Calibri" w:eastAsia="Microsoft YaHei"/>
                <w:b w:val="0"/>
                <w:color w:val="000000"/>
                <w:sz w:val="18"/>
              </w:rPr>
              <w:t>Unauthorized resource IDs return 404; administrator-only module access returns 403.</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95959"/>
        <w:sz w:val="17"/>
      </w:rPr>
      <w:t>Internal use only | Submitted for security regression testing | 2026-07-14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95959"/>
        <w:sz w:val="17"/>
      </w:rPr>
      <w:t>OKR Platform | Security Remediation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OKR Platform Security Remediation Report</dc:title>
  <dc:subject>Security regression testing evidence</dc:subject>
  <dc:creator>OKR Platform Engineering</dc:creator>
  <cp:keywords/>
  <dc:description>Generated for security retest.</dc:description>
  <cp:lastModifiedBy/>
  <cp:revision>1</cp:revision>
  <dcterms:created xsi:type="dcterms:W3CDTF">2013-12-23T23:15:00Z</dcterms:created>
  <dcterms:modified xsi:type="dcterms:W3CDTF">2013-12-23T23:15:00Z</dcterms:modified>
  <cp:category/>
</cp:coreProperties>
</file>