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 w:eastAsia="Microsoft YaHei"/>
          <w:b/>
          <w:color w:val="0B2545"/>
          <w:sz w:val="48"/>
        </w:rPr>
        <w:t>OKR 平台安全修复报告</w:t>
      </w:r>
    </w:p>
    <w:p>
      <w:pPr>
        <w:spacing w:after="360"/>
      </w:pPr>
      <w:r>
        <w:rPr>
          <w:rFonts w:ascii="Calibri" w:hAnsi="Calibri" w:eastAsia="Microsoft YaHei"/>
          <w:color w:val="595959"/>
          <w:sz w:val="24"/>
        </w:rPr>
        <w:t>安全初测问题整改情况 - 提交安全复测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系统名称</w:t>
            </w:r>
          </w:p>
        </w:tc>
        <w:tc>
          <w:tcPr>
            <w:tcW w:type="dxa" w:w="6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OKR 平台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报告日期</w:t>
            </w:r>
          </w:p>
        </w:tc>
        <w:tc>
          <w:tcPr>
            <w:tcW w:type="dxa" w:w="6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2026-07-14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整改范围</w:t>
            </w:r>
          </w:p>
        </w:tc>
        <w:tc>
          <w:tcPr>
            <w:tcW w:type="dxa" w:w="6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安全初测报告八类问题及源码核验发现项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提测目的</w:t>
            </w:r>
          </w:p>
        </w:tc>
        <w:tc>
          <w:tcPr>
            <w:tcW w:type="dxa" w:w="6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验证服务端授权、认证安全基线、审计及 HTTPS 部署控制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一、整改结论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本次整改已在服务端建立“角色 + 资源关系”的统一授权机制，重点封堵了通过修改 URL、请求体和资源 ID 越权访问或修改其他用户 OKR 的风险。同时完成了输入校验、管理员认证收敛、CSRF 与来源校验、安全响应头、审计记录以及直接 Node.js HTTPS 启动能力的代码实现。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F4D78"/>
          <w:sz w:val="22"/>
        </w:rPr>
        <w:t>结论：</w:t>
      </w:r>
      <w:r>
        <w:rPr>
          <w:rFonts w:ascii="Calibri" w:hAnsi="Calibri" w:eastAsia="Microsoft YaHei"/>
          <w:color w:val="1F4D78"/>
          <w:sz w:val="22"/>
        </w:rPr>
        <w:t>高风险问题已完成代码级修复。生产证书部署、外网 TLS 扫描、钉钉认证联调和全角色回归测试尚需在测试环境完成后，方可判定生产发布通过。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二、整改范围与已核验材料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源码核验范围：Express 路由、授权服务、认证与 Session、数据库结构及迁移、前端请求封装、应用启动与部署配置。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自动化检查：TypeScript 类型检查、安全策略单元测试、代码规范检查；安全策略测试共 3 项，均已通过。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开发环境运行核验：数据库迁移成功执行，应用进程重启后健康检查、首页及前端主资源均返回 HTTP 200。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未在本机完成的验证：生产证书文件、公开域名、PM2 证书重载、外网 TLS 扫描，以及各业务角色测试账号的全量回归。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三、安全问题修复对照表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1750"/>
        <w:gridCol w:w="2200"/>
        <w:gridCol w:w="4890"/>
      </w:tblGrid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序号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初测问题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整改状态</w:t>
            </w:r>
          </w:p>
        </w:tc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修复说明</w:t>
            </w:r>
          </w:p>
        </w:tc>
      </w:tr>
      <w:tr>
        <w:tc>
          <w:tcPr>
            <w:tcW w:type="dxa" w:w="52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7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明文 HTTP 传输</w:t>
            </w:r>
          </w:p>
        </w:tc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已完成代码实现，待部署验证</w:t>
            </w:r>
          </w:p>
        </w:tc>
        <w:tc>
          <w:tcPr>
            <w:tcW w:type="dxa" w:w="489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生产环境由 Node.js HTTPS Server 承载，最低 TLS 1.2；独立 HTTP 端口统一 308 跳转至固定公开 HTTPS 地址。证书、私钥或公开地址无效时启动失败，不回退 HTTP。</w:t>
            </w:r>
          </w:p>
        </w:tc>
      </w:tr>
      <w:tr>
        <w:tc>
          <w:tcPr>
            <w:tcW w:type="dxa" w:w="520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750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CSRF</w:t>
            </w:r>
          </w:p>
        </w:tc>
        <w:tc>
          <w:tcPr>
            <w:tcW w:type="dxa" w:w="2200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已修复</w:t>
            </w:r>
          </w:p>
        </w:tc>
        <w:tc>
          <w:tcPr>
            <w:tcW w:type="dxa" w:w="4890"/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新增会话绑定 CSRF Token；所有状态变更接口必须携带 X-CSRF-Token；非白名单 Origin 被拒绝。</w:t>
            </w:r>
          </w:p>
        </w:tc>
      </w:tr>
      <w:tr>
        <w:tc>
          <w:tcPr>
            <w:tcW w:type="dxa" w:w="52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7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表单与参数篡改</w:t>
            </w:r>
          </w:p>
        </w:tc>
        <w:tc>
          <w:tcPr>
            <w:tcW w:type="dxa" w:w="2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已修复</w:t>
            </w:r>
          </w:p>
        </w:tc>
        <w:tc>
          <w:tcPr>
            <w:tcW w:type="dxa" w:w="489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使用 Zod DTO、字段白名单和范围校验；服务端以当前登录用户重新判定权限，不信任客户端传入的身份、部门或资源归属。</w:t>
            </w:r>
          </w:p>
        </w:tc>
      </w:tr>
      <w:tr>
        <w:tc>
          <w:tcPr>
            <w:tcW w:type="dxa" w:w="520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750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管理员弱口令</w:t>
            </w:r>
          </w:p>
        </w:tc>
        <w:tc>
          <w:tcPr>
            <w:tcW w:type="dxa" w:w="2200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已修复</w:t>
            </w:r>
          </w:p>
        </w:tc>
        <w:tc>
          <w:tcPr>
            <w:tcW w:type="dxa" w:w="4890"/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最少 8 位且包含四类字符中的至少三类；bcrypt 12 轮哈希；删除固定默认密码。</w:t>
            </w:r>
          </w:p>
        </w:tc>
      </w:tr>
      <w:tr>
        <w:tc>
          <w:tcPr>
            <w:tcW w:type="dxa" w:w="52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7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缺少安全响应头</w:t>
            </w:r>
          </w:p>
        </w:tc>
        <w:tc>
          <w:tcPr>
            <w:tcW w:type="dxa" w:w="2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已修复</w:t>
            </w:r>
          </w:p>
        </w:tc>
        <w:tc>
          <w:tcPr>
            <w:tcW w:type="dxa" w:w="489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配置 Helmet、CSP、防嵌入、X-Content-Type-Options、Referrer-Policy、生产 HSTS；敏感响应禁止缓存。</w:t>
            </w:r>
          </w:p>
        </w:tc>
      </w:tr>
      <w:tr>
        <w:tc>
          <w:tcPr>
            <w:tcW w:type="dxa" w:w="520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750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水平越权</w:t>
            </w:r>
          </w:p>
        </w:tc>
        <w:tc>
          <w:tcPr>
            <w:tcW w:type="dxa" w:w="2200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已修复</w:t>
            </w:r>
          </w:p>
        </w:tc>
        <w:tc>
          <w:tcPr>
            <w:tcW w:type="dxa" w:w="4890"/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目标、KR、评论、通知、导入导出、统计与 AI 分析均接入统一授权。无权资源返回 404，防止资源枚举。</w:t>
            </w:r>
          </w:p>
        </w:tc>
      </w:tr>
      <w:tr>
        <w:tc>
          <w:tcPr>
            <w:tcW w:type="dxa" w:w="52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7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垂直越权</w:t>
            </w:r>
          </w:p>
        </w:tc>
        <w:tc>
          <w:tcPr>
            <w:tcW w:type="dxa" w:w="2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已修复</w:t>
            </w:r>
          </w:p>
        </w:tc>
        <w:tc>
          <w:tcPr>
            <w:tcW w:type="dxa" w:w="489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管理员接口保留服务端超级管理员校验；前端管理路由增加角色守卫，普通用户跳转首页。</w:t>
            </w:r>
          </w:p>
        </w:tc>
      </w:tr>
      <w:tr>
        <w:tc>
          <w:tcPr>
            <w:tcW w:type="dxa" w:w="520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750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审计不足</w:t>
            </w:r>
          </w:p>
        </w:tc>
        <w:tc>
          <w:tcPr>
            <w:tcW w:type="dxa" w:w="2200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已修复</w:t>
            </w:r>
          </w:p>
        </w:tc>
        <w:tc>
          <w:tcPr>
            <w:tcW w:type="dxa" w:w="4890"/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新增 audit_logs，记录操作者、角色、时间、IP、UA、操作、资源、结果及请求 ID；仅超级管理员可查询和导出。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四、核心安全控制说明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4.1 资源授权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权限由服务端统一判定，不再由前端隐藏按钮或客户端字段决定。权限矩阵如下：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9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身份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允许的资源操作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超级管理员</w:t>
            </w:r>
          </w:p>
        </w:tc>
        <w:tc>
          <w:tcPr>
            <w:tcW w:type="dxa" w:w="69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管理全部资源与系统配置。</w:t>
            </w:r>
          </w:p>
        </w:tc>
      </w:tr>
      <w:tr>
        <w:tc>
          <w:tcPr>
            <w:tcW w:type="dxa" w:w="2500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目标创建人</w:t>
            </w:r>
          </w:p>
        </w:tc>
        <w:tc>
          <w:tcPr>
            <w:tcW w:type="dxa" w:w="6960"/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管理本人创建的目标及其 KR。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KR 执行人</w:t>
            </w:r>
          </w:p>
        </w:tc>
        <w:tc>
          <w:tcPr>
            <w:tcW w:type="dxa" w:w="69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查看所属目标；仅更新本人 KR 进度和自评。</w:t>
            </w:r>
          </w:p>
        </w:tc>
      </w:tr>
      <w:tr>
        <w:tc>
          <w:tcPr>
            <w:tcW w:type="dxa" w:w="2500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KR 协同人</w:t>
            </w:r>
          </w:p>
        </w:tc>
        <w:tc>
          <w:tcPr>
            <w:tcW w:type="dxa" w:w="6960"/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查看所属目标和 KR；可发表评论。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同部门成员 / 负责人</w:t>
            </w:r>
          </w:p>
        </w:tc>
        <w:tc>
          <w:tcPr>
            <w:tcW w:type="dxa" w:w="69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按既有可见范围只读并发表评论；不得管理非本人创建资源。</w:t>
            </w:r>
          </w:p>
        </w:tc>
      </w:tr>
      <w:tr>
        <w:tc>
          <w:tcPr>
            <w:tcW w:type="dxa" w:w="2500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非管理员用户</w:t>
            </w:r>
          </w:p>
        </w:tc>
        <w:tc>
          <w:tcPr>
            <w:tcW w:type="dxa" w:w="6960"/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仅允许钉钉认证；账号密码登录会被拒绝。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Microsoft YaHei"/>
          <w:color w:val="1F4D78"/>
          <w:sz w:val="22"/>
        </w:rPr>
        <w:t>对当前用户无权访问的目标、KR、评论及通知资源，接口返回 404；访问管理员模块但角色不满足时返回 403。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4.2 认证、会话与密码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POST /api/auth/login 仅允许本地超级管理员登录；非管理员账号密码登录统一返回通用凭据错误信息。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管理员密码存储为 bcrypt 哈希。旧版 AES 解密和启动时同步管理员密码的逻辑已移除。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生产环境必须提供 SESSION_SECRET，不再存在固定后备值；本地登录成功后重新生成 Session ID。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登录限制同时按 IP 与账号维度执行；连续失败触发短时锁定。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生产 Cookie 强制 Secure、HttpOnly、SameSite=Lax；直接 TLS 部署不默认信任代理。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4.3 输入、浏览器与响应保护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状态变更接口使用 Zod DTO 与字段白名单，校验 ID、日期、角色、状态、0-100 进度、评分、权重、数组长度及导入行数。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前端通过 GET /api/auth/csrf-token 获取 Token，并在状态变更请求中发送 X-CSRF-Token。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Helmet 提供 CSP、防嵌入、X-Content-Type-Options、Referrer-Policy 与生产 HSTS；敏感页面响应设置 Cache-Control: no-store。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4.4 审计与日志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审计范围包括登录成功/失败、退出、改密、用户角色变更、部门和周期变更、目标/KR 操作、进度、评分、导入导出、AI 分析和清空数据。审计日志不记录密码、密码哈希、Session、CSRF Token、Cookie、完整请求体、证书路径和私钥信息。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普通请求日志改为结构化记录，仅包含请求 ID、方法、路径、状态码和耗时。审计记录不提供修改接口，保留策略为 180 天。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五、HTTPS 部署验收要求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以下配置属于生产环境上线前置条件，测试环境需按相同模式验证：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配置项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验收要求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HTTPS_CERT_PATH</w:t>
            </w:r>
          </w:p>
        </w:tc>
        <w:tc>
          <w:tcPr>
            <w:tcW w:type="dxa" w:w="6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指向可读取的 PEM 完整证书链。</w:t>
            </w:r>
          </w:p>
        </w:tc>
      </w:tr>
      <w:tr>
        <w:tc>
          <w:tcPr>
            <w:tcW w:type="dxa" w:w="2500"/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HTTPS_KEY_PATH</w:t>
            </w:r>
          </w:p>
        </w:tc>
        <w:tc>
          <w:tcPr>
            <w:tcW w:type="dxa" w:w="6860"/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指向可读取的 PEM 私钥；权限仅限运行账户读取。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HTTPS_PORT</w:t>
            </w:r>
          </w:p>
        </w:tc>
        <w:tc>
          <w:tcPr>
            <w:tcW w:type="dxa" w:w="6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HTTPS 监听端口，默认 5000。</w:t>
            </w:r>
          </w:p>
        </w:tc>
      </w:tr>
      <w:tr>
        <w:tc>
          <w:tcPr>
            <w:tcW w:type="dxa" w:w="2500"/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HTTP_PORT</w:t>
            </w:r>
          </w:p>
        </w:tc>
        <w:tc>
          <w:tcPr>
            <w:tcW w:type="dxa" w:w="6860"/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HTTP 跳转端口，默认 5001。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PUBLIC_HTTPS_ORIGIN</w:t>
            </w:r>
          </w:p>
        </w:tc>
        <w:tc>
          <w:tcPr>
            <w:tcW w:type="dxa" w:w="6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固定的公开 HTTPS 地址；跳转目标不得根据 Host Header 拼接。</w:t>
            </w:r>
          </w:p>
        </w:tc>
      </w:tr>
      <w:tr>
        <w:tc>
          <w:tcPr>
            <w:tcW w:type="dxa" w:w="2500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启动失败策略</w:t>
            </w:r>
          </w:p>
        </w:tc>
        <w:tc>
          <w:tcPr>
            <w:tcW w:type="dxa" w:w="6860"/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生产环境证书、私钥、公开地址缺失、不可读、格式错误或不匹配时必须退出。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证书续期</w:t>
            </w:r>
          </w:p>
        </w:tc>
        <w:tc>
          <w:tcPr>
            <w:tcW w:type="dxa" w:w="6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运维续期后执行 pm2 reload okr-platform 加载新证书。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六、安全复测清单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6.1 授权与越权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准备超级管理员、目标创建人、KR 执行人、协同人、同部门只读成员和跨部门成员账号。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篡改 objectiveId、KR ID、评论 ID、通知 ID 和批量排序请求 ID，确认跨范围查询与操作均被拒绝。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确认 KR 执行人不能修改他人 KR、目标创建人、部门、协同范围，或管理无关目标的排序。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确认通知只能由接收人标记已读；评论仅作者或超级管理员可删除。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为 AI 分析或排名传入任意部门参数，确认结果仅使用当前用户可见目标。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6.2 认证与浏览器安全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以非管理员身份调用账号密码登录，确认得到通用凭据错误且不能创建会话。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尝试弱管理员密码，确认被策略拒绝；对账号和 IP 连续失败，确认触发临时锁定。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确认登录成功后 Session ID 发生变化；生产 HTTPS 下 Cookie 包含 Secure、HttpOnly、SameSite=Lax。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对状态变更接口分别不带 CSRF Token、带错误 Token、使用非白名单 Origin 发起请求，确认均被拒绝。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确认生产响应头包含 CSP、防嵌入、X-Content-Type-Options、Referrer-Policy 和 HSTS。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6.3 HTTPS、审计与运维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使用有效 PEM 证书与私钥启动生产模式，确认 HTTPS 登录和 API 正常。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分别使用缺失、不可读、非法或证书私钥不匹配的 TLS 文件启动，确认应用拒绝启动。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验证 TLS 1.0/1.1 被拒绝；HTTP 返回 308，且路径和查询参数保持不变。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注入伪造 Host Header，确认重定向目标不受影响；执行 PM2 reload 后确认新证书生效。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检查登录、改密、用户变更、目标/KR、导入导出、AI 分析与清空数据均生成审计记录，且审计内容不含敏感值。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七、上线条件与遗留事项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600"/>
        <w:gridCol w:w="4460"/>
      </w:tblGrid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上线条件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责任方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验收材料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测试环境完成多角色安全回归</w:t>
            </w:r>
          </w:p>
        </w:tc>
        <w:tc>
          <w:tcPr>
            <w:tcW w:type="dxa" w:w="16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测试</w:t>
            </w:r>
          </w:p>
        </w:tc>
        <w:tc>
          <w:tcPr>
            <w:tcW w:type="dxa" w:w="4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复测用例执行记录、接口请求/响应证据、缺陷关闭记录。</w:t>
            </w:r>
          </w:p>
        </w:tc>
      </w:tr>
      <w:tr>
        <w:tc>
          <w:tcPr>
            <w:tcW w:type="dxa" w:w="3300"/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部署证书及生产环境变量</w:t>
            </w:r>
          </w:p>
        </w:tc>
        <w:tc>
          <w:tcPr>
            <w:tcW w:type="dxa" w:w="1600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运维</w:t>
            </w:r>
          </w:p>
        </w:tc>
        <w:tc>
          <w:tcPr>
            <w:tcW w:type="dxa" w:w="4460"/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PM2 配置、证书权限、HTTPS 访问验证材料。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轮换已暴露凭据并清理旧 Secret</w:t>
            </w:r>
          </w:p>
        </w:tc>
        <w:tc>
          <w:tcPr>
            <w:tcW w:type="dxa" w:w="16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运维 / 管理员</w:t>
            </w:r>
          </w:p>
        </w:tc>
        <w:tc>
          <w:tcPr>
            <w:tcW w:type="dxa" w:w="4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新密钥托管记录、旧 AES 启动配置删除、历史 Session 失效证明。</w:t>
            </w:r>
          </w:p>
        </w:tc>
      </w:tr>
      <w:tr>
        <w:tc>
          <w:tcPr>
            <w:tcW w:type="dxa" w:w="3300"/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验证审计清理和监控</w:t>
            </w:r>
          </w:p>
        </w:tc>
        <w:tc>
          <w:tcPr>
            <w:tcW w:type="dxa" w:w="1600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后端 / 运维</w:t>
            </w:r>
          </w:p>
        </w:tc>
        <w:tc>
          <w:tcPr>
            <w:tcW w:type="dxa" w:w="4460"/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180 天清理任务记录及 TLS、登录失败、越权、异常、审计写入失败告警。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处理三方依赖扫描项</w:t>
            </w:r>
          </w:p>
        </w:tc>
        <w:tc>
          <w:tcPr>
            <w:tcW w:type="dxa" w:w="16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后端</w:t>
            </w:r>
          </w:p>
        </w:tc>
        <w:tc>
          <w:tcPr>
            <w:tcW w:type="dxa" w:w="4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依赖升级或缓解方案；对暂无上游修复项记录残余风险。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9B1C1C"/>
          <w:sz w:val="22"/>
        </w:rPr>
        <w:t>在上述上线条件完成</w:t>
      </w:r>
      <w:r>
        <w:rPr>
          <w:rFonts w:ascii="Calibri" w:hAnsi="Calibri" w:eastAsia="Microsoft YaHei"/>
          <w:color w:val="9B1C1C"/>
          <w:sz w:val="22"/>
        </w:rPr>
        <w:t>、测试团队出具安全复测通过结论前，不得将本版本发布至生产环境。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八、接口变更说明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接口或行为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测试预期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GET /api/auth/csrf-token</w:t>
            </w:r>
          </w:p>
        </w:tc>
        <w:tc>
          <w:tcPr>
            <w:tcW w:type="dxa" w:w="6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返回当前 Session 对应的 CSRF Token。</w:t>
            </w:r>
          </w:p>
        </w:tc>
      </w:tr>
      <w:tr>
        <w:tc>
          <w:tcPr>
            <w:tcW w:type="dxa" w:w="3000"/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POST /api/auth/login</w:t>
            </w:r>
          </w:p>
        </w:tc>
        <w:tc>
          <w:tcPr>
            <w:tcW w:type="dxa" w:w="6360"/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仅本地超级管理员可使用；无效凭据返回通用失败信息。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GET /api/auth/me</w:t>
            </w:r>
          </w:p>
        </w:tc>
        <w:tc>
          <w:tcPr>
            <w:tcW w:type="dxa" w:w="6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返回 authProvider，不返回密码相关字段。</w:t>
            </w:r>
          </w:p>
        </w:tc>
      </w:tr>
      <w:tr>
        <w:tc>
          <w:tcPr>
            <w:tcW w:type="dxa" w:w="3000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状态变更接口</w:t>
            </w:r>
          </w:p>
        </w:tc>
        <w:tc>
          <w:tcPr>
            <w:tcW w:type="dxa" w:w="6360"/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必须携带 X-CSRF-Token 且 Origin 在白名单内；未知字段被拒绝。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资源访问接口</w:t>
            </w:r>
          </w:p>
        </w:tc>
        <w:tc>
          <w:tcPr>
            <w:tcW w:type="dxa" w:w="6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无权资源返回 404；管理员模块无权限访问返回 403。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95959"/>
        <w:sz w:val="17"/>
      </w:rPr>
      <w:t>Internal use only | Submitted for security regression testing | 2026-07-14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95959"/>
        <w:sz w:val="17"/>
      </w:rPr>
      <w:t>OKR Platform | Security Remediation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OKR 平台安全修复报告</dc:title>
  <dc:subject>安全复测材料</dc:subject>
  <dc:creator>OKR 平台研发</dc:creator>
  <cp:keywords/>
  <dc:description>用于安全复测。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