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CMMC-Compliant IT Infrastructure Roadmap (2025–2030)</w:t>
      </w:r>
    </w:p>
    <w:p>
      <w:r>
        <w:t>Prepared for: Management</w:t>
      </w:r>
    </w:p>
    <w:p>
      <w:r>
        <w:t>Prepared by: Xavione Gordon</w:t>
      </w:r>
    </w:p>
    <w:p>
      <w:r>
        <w:t>Date: September 2025</w:t>
      </w:r>
    </w:p>
    <w:p>
      <w:pPr>
        <w:pStyle w:val="Heading1"/>
      </w:pPr>
      <w:r>
        <w:t>Overview</w:t>
      </w:r>
    </w:p>
    <w:p>
      <w:r>
        <w:t>This roadmap provides a calendar-style plan from 2025 through 2030 to ensure the IT infrastructure remains CMMC Level 2 compliant. It covers procurement, setup, audit preparation, and refresh cycles for hardware, operating systems, SQL databases, and SolidWorks upgrades.</w:t>
      </w:r>
    </w:p>
    <w:p>
      <w:pPr>
        <w:pStyle w:val="Heading1"/>
      </w:pPr>
      <w:r>
        <w:t>Timeline 2025–2030</w:t>
      </w:r>
    </w:p>
    <w:p>
      <w:pPr>
        <w:pStyle w:val="Heading2"/>
      </w:pPr>
      <w:r>
        <w:t>2025</w:t>
      </w:r>
    </w:p>
    <w:p>
      <w:r>
        <w:t>• Procure and deploy new servers (Dell R760 or Lenovo SR650 V3 preferred).</w:t>
        <w:br/>
        <w:t>• Install Proxmox VE, Windows Server 2022, SQL Server 2022, and SolidWorks 2025.</w:t>
        <w:br/>
        <w:t>• Configure AD, File Server, DHCP/DNS, SQL, SolidWorks PDM, and Web Server.</w:t>
        <w:br/>
        <w:t>• Implement backups, VLANs, MFA, and patch management.</w:t>
        <w:br/>
        <w:t>• Document System Security Plan (SSP) and Plan of Action &amp; Milestones (POA&amp;M).</w:t>
        <w:br/>
        <w:t>• Begin compliance logging (patch logs, access logs).</w:t>
      </w:r>
    </w:p>
    <w:p>
      <w:pPr>
        <w:pStyle w:val="Heading2"/>
      </w:pPr>
      <w:r>
        <w:t>2026</w:t>
      </w:r>
    </w:p>
    <w:p>
      <w:r>
        <w:t>• Apply monthly OS/firmware patches.</w:t>
        <w:br/>
        <w:t>• Conduct quarterly vulnerability scans.</w:t>
        <w:br/>
        <w:t>• Annual: Review support contracts and policies.</w:t>
        <w:br/>
        <w:t>• SolidWorks minor updates (SP versions).</w:t>
        <w:br/>
        <w:t>• Prepare for internal compliance review.</w:t>
      </w:r>
    </w:p>
    <w:p>
      <w:pPr>
        <w:pStyle w:val="Heading2"/>
      </w:pPr>
      <w:r>
        <w:t>2027</w:t>
      </w:r>
    </w:p>
    <w:p>
      <w:r>
        <w:t>• Mid-cycle review of infrastructure.</w:t>
        <w:br/>
        <w:t>• Expand SSD/HDD if storage usage exceeds 70%.</w:t>
        <w:br/>
        <w:t>• Plan budget for SolidWorks upgrade (target 2028).</w:t>
        <w:br/>
        <w:t>• Conduct mock audit to test CMMC readiness.</w:t>
        <w:br/>
        <w:t>• Annual compliance binder update (SSP, POA&amp;M, patch logs).</w:t>
      </w:r>
    </w:p>
    <w:p>
      <w:pPr>
        <w:pStyle w:val="Heading2"/>
      </w:pPr>
      <w:r>
        <w:t>2028</w:t>
      </w:r>
    </w:p>
    <w:p>
      <w:r>
        <w:t>• Upgrade SolidWorks to 2028 release to stay in supported lifecycle.</w:t>
        <w:br/>
        <w:t>• Apply SQL Server cumulative updates.</w:t>
        <w:br/>
        <w:t>• Begin planning for hardware refresh if servers are nearing end of support (budget discussions).</w:t>
        <w:br/>
        <w:t>• Continue monthly patching, quarterly scans, annual audits.</w:t>
      </w:r>
    </w:p>
    <w:p>
      <w:pPr>
        <w:pStyle w:val="Heading2"/>
      </w:pPr>
      <w:r>
        <w:t>2029</w:t>
      </w:r>
    </w:p>
    <w:p>
      <w:r>
        <w:t>• Review SQL Server version: SQL 2022 still supported (extended support to 2032).</w:t>
        <w:br/>
        <w:t>• Annual review of Windows Server 2022 patches (supported to 2031).</w:t>
        <w:br/>
        <w:t>• Budget planning for next hardware refresh (expected 2030–2031).</w:t>
        <w:br/>
        <w:t>• Annual mock compliance audit.</w:t>
      </w:r>
    </w:p>
    <w:p>
      <w:pPr>
        <w:pStyle w:val="Heading2"/>
      </w:pPr>
      <w:r>
        <w:t>2030</w:t>
      </w:r>
    </w:p>
    <w:p>
      <w:r>
        <w:t>• Begin procurement of next-generation servers (Dell R880 / Lenovo SR670 V4 expected).</w:t>
        <w:br/>
        <w:t>• Plan migration of VMs from 2025 servers to new hardware.</w:t>
        <w:br/>
        <w:t>• SolidWorks upgrade cycle (2031 version target).</w:t>
        <w:br/>
        <w:t>• Conduct CMMC audit with full lifecycle documentation.</w:t>
        <w:br/>
        <w:t>• Decommission 2025 servers securely with drive sanitization logs.</w:t>
      </w:r>
    </w:p>
    <w:p>
      <w:pPr>
        <w:pStyle w:val="Heading1"/>
      </w:pPr>
      <w:r>
        <w:t>Key Compliance Practices</w:t>
      </w:r>
    </w:p>
    <w:p>
      <w:r>
        <w:t>• Maintain vendor support contracts for firmware and driver updates.</w:t>
        <w:br/>
        <w:t>• Apply OS and application patches monthly.</w:t>
        <w:br/>
        <w:t>• Run vulnerability scans quarterly.</w:t>
        <w:br/>
        <w:t>• Test backup restores quarterly.</w:t>
        <w:br/>
        <w:t>• Refresh hardware every 5–7 years, SolidWorks every 3–4 years.</w:t>
        <w:br/>
        <w:t>• Keep audit binder current with SSP, POA&amp;M, patch logs, and access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