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p>
    <w:p>
      <w:pPr>
        <w:spacing w:after="120" w:before="0"/>
        <w:jc w:val="center"/>
      </w:pPr>
      <w:r>
        <w:rPr>
          <w:rFonts w:ascii="Arial" w:cs="Arial" w:eastAsia="Arial" w:hAnsi="Arial"/>
          <w:b/>
          <w:bCs/>
          <w:color w:val="1F3864"/>
          <w:sz w:val="64"/>
          <w:szCs w:val="64"/>
        </w:rPr>
        <w:t>CCM TOOL</w:t>
      </w:r>
    </w:p>
    <w:p>
      <w:pPr>
        <w:spacing w:after="480" w:before="0"/>
        <w:jc w:val="center"/>
      </w:pPr>
      <w:r>
        <w:rPr>
          <w:rFonts w:ascii="Arial" w:cs="Arial" w:eastAsia="Arial" w:hAnsi="Arial"/>
          <w:color w:val="2E75B6"/>
          <w:sz w:val="32"/>
          <w:szCs w:val="32"/>
        </w:rPr>
        <w:t>Cross-Country Mobility Tool</w:t>
      </w:r>
    </w:p>
    <w:p>
      <w:pPr>
        <w:spacing w:after="120" w:before="0"/>
        <w:jc w:val="center"/>
      </w:pPr>
      <w:r>
        <w:rPr>
          <w:rFonts w:ascii="Arial" w:cs="Arial" w:eastAsia="Arial" w:hAnsi="Arial"/>
          <w:b/>
          <w:bCs/>
          <w:color w:val="1F3864"/>
          <w:sz w:val="40"/>
          <w:szCs w:val="40"/>
        </w:rPr>
        <w:t>User Manual</w:t>
      </w:r>
    </w:p>
    <w:p>
      <w:pPr>
        <w:spacing w:after="720" w:before="0"/>
        <w:jc w:val="center"/>
      </w:pPr>
      <w:r>
        <w:rPr>
          <w:rFonts w:ascii="Arial" w:cs="Arial" w:eastAsia="Arial" w:hAnsi="Arial"/>
          <w:color w:val="2E75B6"/>
          <w:sz w:val="28"/>
          <w:szCs w:val="28"/>
        </w:rPr>
        <w:t>Version 0.60.10</w:t>
      </w:r>
    </w:p>
    <w:p>
      <w:pPr>
        <w:pBdr>
          <w:bottom w:val="single" w:color="CCCCCC" w:sz="4" w:space="2"/>
        </w:pBdr>
        <w:spacing w:after="120" w:before="120"/>
      </w:pPr>
      <w:r/>
    </w:p>
    <w:p>
      <w:pPr>
        <w:spacing w:after="60" w:before="240"/>
        <w:jc w:val="center"/>
      </w:pPr>
      <w:r>
        <w:rPr>
          <w:rFonts w:ascii="Arial" w:cs="Arial" w:eastAsia="Arial" w:hAnsi="Arial"/>
          <w:color w:val="555555"/>
          <w:sz w:val="24"/>
          <w:szCs w:val="24"/>
        </w:rPr>
        <w:t>ArcGIS Pro Python Toolbox</w:t>
      </w:r>
    </w:p>
    <w:p>
      <w:pPr>
        <w:spacing w:after="60" w:before="0"/>
        <w:jc w:val="center"/>
      </w:pPr>
      <w:r>
        <w:rPr>
          <w:rFonts w:ascii="Arial" w:cs="Arial" w:eastAsia="Arial" w:hAnsi="Arial"/>
          <w:color w:val="555555"/>
          <w:sz w:val="24"/>
          <w:szCs w:val="24"/>
        </w:rPr>
        <w:t>For Military Terrain Analysis and Emergency Response Planning</w:t>
      </w:r>
    </w:p>
    <w:p>
      <w:pPr>
        <w:spacing w:after="0" w:before="240"/>
        <w:jc w:val="center"/>
      </w:pPr>
      <w:r>
        <w:rPr>
          <w:rFonts w:ascii="Arial" w:cs="Arial" w:eastAsia="Arial" w:hAnsi="Arial"/>
          <w:color w:val="888888"/>
          <w:sz w:val="22"/>
          <w:szCs w:val="22"/>
        </w:rPr>
        <w:t>September 2026</w:t>
      </w:r>
    </w:p>
    <w:p>
      <w:pPr>
        <w:spacing w:after="0" w:before="240"/>
        <w:jc w:val="center"/>
      </w:pPr>
      <w:r>
        <w:rPr>
          <w:rFonts w:ascii="Arial" w:hAnsi="Arial"/>
          <w:b w:val="0"/>
          <w:sz w:val="20"/>
        </w:rPr>
        <w:t>SPDX-License-Identifier: GPL-2.0-or-later</w:t>
      </w:r>
    </w:p>
    <w:p>
      <w:pPr>
        <w:spacing w:after="0" w:before="240"/>
        <w:jc w:val="center"/>
      </w:pPr>
      <w:r>
        <w:rPr>
          <w:rFonts w:ascii="Arial" w:hAnsi="Arial"/>
          <w:b w:val="0"/>
          <w:sz w:val="20"/>
        </w:rPr>
        <w:t>Copyright (c) 2026 Eui Soo SON</w:t>
      </w:r>
    </w:p>
    <w:p>
      <w:r/>
    </w:p>
    <w:p>
      <w:pPr>
        <w:pStyle w:val="Heading1"/>
        <w:pBdr>
          <w:bottom w:val="single" w:color="2E75B6" w:sz="6" w:space="4"/>
        </w:pBdr>
        <w:spacing w:after="120" w:before="360"/>
      </w:pPr>
      <w:r>
        <w:rPr>
          <w:rFonts w:ascii="Arial" w:cs="Arial" w:eastAsia="Arial" w:hAnsi="Arial"/>
          <w:b/>
          <w:bCs/>
          <w:color w:val="1F3864"/>
          <w:sz w:val="32"/>
          <w:szCs w:val="32"/>
        </w:rPr>
        <w:t>Table of Contents</w:t>
      </w:r>
    </w:p>
    <w:sdt>
      <w:sdtPr>
        <w:alias w:val="Table of Contents"/>
      </w:sdtPr>
      <w:sdtContent>
        <w:p>
          <w:r>
            <w:fldChar w:fldCharType="begin" w:dirty="true"/>
            <w:instrText xml:space="preserve">TOC \h \o "1-3"</w:instrText>
            <w:fldChar w:fldCharType="separate"/>
          </w:r>
        </w:p>
        <w:p>
          <w:r>
            <w:fldChar w:fldCharType="end"/>
          </w:r>
        </w:p>
      </w:sdtContent>
    </w:sdt>
    <w:p>
      <w:r/>
    </w:p>
    <w:p>
      <w:pPr>
        <w:pStyle w:val="Heading1"/>
        <w:pBdr>
          <w:bottom w:val="single" w:color="2E75B6" w:sz="6" w:space="4"/>
        </w:pBdr>
        <w:spacing w:after="120" w:before="360"/>
      </w:pPr>
      <w:r>
        <w:rPr>
          <w:rFonts w:ascii="Arial" w:cs="Arial" w:eastAsia="Arial" w:hAnsi="Arial"/>
          <w:b/>
          <w:bCs/>
          <w:color w:val="1F3864"/>
          <w:sz w:val="32"/>
          <w:szCs w:val="32"/>
        </w:rPr>
        <w:t>1.  Introduction</w:t>
      </w:r>
    </w:p>
    <w:p>
      <w:pPr>
        <w:pStyle w:val="Heading2"/>
        <w:spacing w:after="100" w:before="280"/>
      </w:pPr>
      <w:r>
        <w:rPr>
          <w:rFonts w:ascii="Arial" w:cs="Arial" w:eastAsia="Arial" w:hAnsi="Arial"/>
          <w:b/>
          <w:bCs/>
          <w:color w:val="2E75B6"/>
          <w:sz w:val="28"/>
          <w:szCs w:val="28"/>
        </w:rPr>
        <w:t>1.1  What Is the CCM Tool?</w:t>
      </w:r>
    </w:p>
    <w:p>
      <w:pPr>
        <w:spacing w:after="60" w:before="60"/>
      </w:pPr>
      <w:r>
        <w:rPr>
          <w:rFonts w:ascii="Arial" w:cs="Arial" w:eastAsia="Arial" w:hAnsi="Arial"/>
          <w:sz w:val="22"/>
          <w:szCs w:val="22"/>
        </w:rPr>
        <w:t>CCM Tool (Cross-Country Mobility Tool) is an ArcGIS Pro Python Toolbox that uses a multi-criteria evaluation approach to assess vehicle trafficability across terrain. It answers the fundamental operational question:</w:t>
      </w:r>
    </w:p>
    <w:p>
      <w:pPr>
        <w:spacing w:after="80" w:before="80"/>
      </w:pPr>
      <w:r/>
    </w:p>
    <w:p>
      <w:pPr>
        <w:spacing w:after="120" w:before="120"/>
        <w:jc w:val="center"/>
      </w:pPr>
      <w:r>
        <w:rPr>
          <w:rFonts w:ascii="Arial" w:cs="Arial" w:eastAsia="Arial" w:hAnsi="Arial"/>
          <w:b/>
          <w:bCs/>
          <w:color w:val="2E75B6"/>
          <w:sz w:val="26"/>
          <w:szCs w:val="26"/>
        </w:rPr>
        <w:t>“Can this vehicle cross this terrain — and how fast?”</w:t>
      </w:r>
    </w:p>
    <w:p>
      <w:pPr>
        <w:spacing w:after="80" w:before="80"/>
      </w:pPr>
      <w:r/>
    </w:p>
    <w:p>
      <w:pPr>
        <w:spacing w:after="60" w:before="60"/>
      </w:pPr>
      <w:r>
        <w:rPr>
          <w:rFonts w:ascii="Arial" w:cs="Arial" w:eastAsia="Arial" w:hAnsi="Arial"/>
          <w:sz w:val="22"/>
          <w:szCs w:val="22"/>
        </w:rPr>
        <w:t>The tool integrates soil, vegetation, slope, and hydrology data to compute per-polygon speed surfaces for wheeled and tracked vehicles. It is purpose-built for military terrain analysis and emergency response route planning, following NATO STANAG trafficability standards.</w:t>
      </w:r>
    </w:p>
    <w:p>
      <w:pPr>
        <w:spacing w:after="80" w:before="80"/>
      </w:pPr>
      <w:r/>
    </w:p>
    <w:p>
      <w:pPr>
        <w:pStyle w:val="Heading2"/>
        <w:spacing w:after="100" w:before="280"/>
      </w:pPr>
      <w:r>
        <w:rPr>
          <w:rFonts w:ascii="Arial" w:cs="Arial" w:eastAsia="Arial" w:hAnsi="Arial"/>
          <w:b/>
          <w:bCs/>
          <w:color w:val="2E75B6"/>
          <w:sz w:val="28"/>
          <w:szCs w:val="28"/>
        </w:rPr>
        <w:t>1.2  Key Capabilities</w:t>
      </w:r>
    </w:p>
    <w:p>
      <w:pPr>
        <w:pStyle w:val="ListParagraph"/>
        <w:numPr>
          <w:ilvl w:val="0"/>
          <w:numId w:val="2"/>
        </w:numPr>
        <w:spacing w:after="40" w:before="40"/>
      </w:pPr>
      <w:r>
        <w:rPr>
          <w:rFonts w:ascii="Arial" w:cs="Arial" w:eastAsia="Arial" w:hAnsi="Arial"/>
          <w:sz w:val="22"/>
          <w:szCs w:val="22"/>
        </w:rPr>
        <w:t>Generate vehicle-specific speed surfaces showing where each vehicle can travel and how fast</w:t>
      </w:r>
    </w:p>
    <w:p>
      <w:pPr>
        <w:pStyle w:val="ListParagraph"/>
        <w:numPr>
          <w:ilvl w:val="0"/>
          <w:numId w:val="2"/>
        </w:numPr>
        <w:spacing w:after="40" w:before="40"/>
      </w:pPr>
      <w:r>
        <w:rPr>
          <w:rFonts w:ascii="Arial" w:cs="Arial" w:eastAsia="Arial" w:hAnsi="Arial"/>
          <w:sz w:val="22"/>
          <w:szCs w:val="22"/>
        </w:rPr>
        <w:t>Pre-process raw soil data from six international databases (SSURGO, SoilGrids, HWSD, DSS Canada, SLC Canada, Generic)</w:t>
      </w:r>
    </w:p>
    <w:p>
      <w:pPr>
        <w:pStyle w:val="ListParagraph"/>
        <w:numPr>
          <w:ilvl w:val="0"/>
          <w:numId w:val="2"/>
        </w:numPr>
        <w:spacing w:after="40" w:before="40"/>
      </w:pPr>
      <w:r>
        <w:rPr>
          <w:rFonts w:ascii="Arial" w:cs="Arial" w:eastAsia="Arial" w:hAnsi="Arial"/>
          <w:sz w:val="22"/>
          <w:szCs w:val="22"/>
        </w:rPr>
        <w:t>Pre-process vegetation data from ESA WorldCover, NLCD, CGLS-LC100, NASA GEDI canopy height, and Canada Biophysical Parameters, DMTI Land Use, and any generic land-cover raster/FC via keyword auto-classification.</w:t>
      </w:r>
    </w:p>
    <w:p>
      <w:pPr>
        <w:pStyle w:val="ListParagraph"/>
        <w:numPr>
          <w:ilvl w:val="0"/>
          <w:numId w:val="2"/>
        </w:numPr>
        <w:spacing w:after="40" w:before="40"/>
      </w:pPr>
      <w:r>
        <w:rPr>
          <w:rFonts w:ascii="Arial" w:cs="Arial" w:eastAsia="Arial" w:hAnsi="Arial"/>
          <w:sz w:val="22"/>
          <w:szCs w:val="22"/>
        </w:rPr>
        <w:t>Identify WHY areas are blocked or slow (Reason Map)</w:t>
      </w:r>
    </w:p>
    <w:p>
      <w:pPr>
        <w:pStyle w:val="ListParagraph"/>
        <w:numPr>
          <w:ilvl w:val="0"/>
          <w:numId w:val="2"/>
        </w:numPr>
        <w:spacing w:after="40" w:before="40"/>
      </w:pPr>
      <w:r>
        <w:rPr>
          <w:rFonts w:ascii="Arial" w:cs="Arial" w:eastAsia="Arial" w:hAnsi="Arial"/>
          <w:sz w:val="22"/>
          <w:szCs w:val="22"/>
        </w:rPr>
        <w:t>Compute travel-time reachability rings from any start point (Isochrone / Reachability Map)</w:t>
      </w:r>
    </w:p>
    <w:p>
      <w:pPr>
        <w:pStyle w:val="ListParagraph"/>
        <w:numPr>
          <w:ilvl w:val="0"/>
          <w:numId w:val="2"/>
        </w:numPr>
        <w:spacing w:after="40" w:before="40"/>
      </w:pPr>
      <w:r>
        <w:rPr>
          <w:rFonts w:ascii="Arial" w:cs="Arial" w:eastAsia="Arial" w:hAnsi="Arial"/>
          <w:sz w:val="22"/>
          <w:szCs w:val="22"/>
        </w:rPr>
        <w:t>Compare two vehicles side-by-side to determine which platform is better for a given mission area</w:t>
      </w:r>
    </w:p>
    <w:p>
      <w:pPr>
        <w:pStyle w:val="ListParagraph"/>
        <w:numPr>
          <w:ilvl w:val="0"/>
          <w:numId w:val="2"/>
        </w:numPr>
        <w:spacing w:after="40" w:before="40"/>
      </w:pPr>
      <w:r>
        <w:rPr>
          <w:rFonts w:ascii="Arial" w:cs="Arial" w:eastAsia="Arial" w:hAnsi="Arial"/>
          <w:sz w:val="22"/>
          <w:szCs w:val="22"/>
        </w:rPr>
        <w:t>Detect hidden micro-obstacles: slope breaks, narrow ditches, and linear barriers</w:t>
      </w:r>
    </w:p>
    <w:p>
      <w:pPr>
        <w:pStyle w:val="ListParagraph"/>
        <w:numPr>
          <w:ilvl w:val="0"/>
          <w:numId w:val="2"/>
        </w:numPr>
        <w:spacing w:after="40" w:before="40"/>
      </w:pPr>
      <w:r>
        <w:rPr>
          <w:rFonts w:ascii="Arial" w:cs="Arial" w:eastAsia="Arial" w:hAnsi="Arial"/>
          <w:sz w:val="22"/>
          <w:szCs w:val="22"/>
        </w:rPr>
        <w:t>Find the time-optimal route between two points on the terrain</w:t>
      </w:r>
    </w:p>
    <w:p>
      <w:pPr>
        <w:pStyle w:val="ListParagraph"/>
        <w:numPr>
          <w:ilvl w:val="0"/>
          <w:numId w:val="2"/>
        </w:numPr>
        <w:spacing w:after="40" w:before="40"/>
      </w:pPr>
      <w:r>
        <w:rPr>
          <w:rFonts w:ascii="Arial" w:cs="Arial" w:eastAsia="Arial" w:hAnsi="Arial"/>
          <w:sz w:val="22"/>
          <w:szCs w:val="22"/>
        </w:rPr>
        <w:t>Accept coordinates in MGRS, Decimal Degrees, DMS, DDM, or UTM formats</w:t>
      </w:r>
    </w:p>
    <w:p>
      <w:pPr>
        <w:pStyle w:val="ListParagraph"/>
        <w:numPr>
          <w:ilvl w:val="0"/>
          <w:numId w:val="2"/>
        </w:numPr>
        <w:spacing w:after="40" w:before="40"/>
      </w:pPr>
      <w:r>
        <w:rPr>
          <w:rFonts w:ascii="Arial" w:cs="Arial" w:eastAsia="Arial" w:hAnsi="Arial"/>
          <w:sz w:val="22"/>
          <w:szCs w:val="22"/>
        </w:rPr>
        <w:t>Integrate real-time rainfall data to adjust soil trafficability dynamically</w:t>
      </w:r>
    </w:p>
    <w:p>
      <w:pPr>
        <w:spacing w:after="80" w:before="80"/>
      </w:pPr>
      <w:r/>
    </w:p>
    <w:p>
      <w:pPr>
        <w:pStyle w:val="Heading2"/>
        <w:spacing w:after="100" w:before="280"/>
      </w:pPr>
      <w:r>
        <w:rPr>
          <w:rFonts w:ascii="Arial" w:cs="Arial" w:eastAsia="Arial" w:hAnsi="Arial"/>
          <w:b/>
          <w:bCs/>
          <w:color w:val="2E75B6"/>
          <w:sz w:val="28"/>
          <w:szCs w:val="28"/>
        </w:rPr>
        <w:t>1.3  How the Tool Works — The Five Factors</w:t>
      </w:r>
    </w:p>
    <w:p>
      <w:pPr>
        <w:spacing w:after="60" w:before="60"/>
      </w:pPr>
      <w:r>
        <w:rPr>
          <w:rFonts w:ascii="Arial" w:cs="Arial" w:eastAsia="Arial" w:hAnsi="Arial"/>
          <w:sz w:val="22"/>
          <w:szCs w:val="22"/>
        </w:rPr>
        <w:t>The CCM model evaluates five independent terrain factors (F1–F5) to produce a mobility score for each polygon. A score of 1.0 is full speed; 0.0 is impassable. Since v0.49 (NG-NRMM doctrine), the most restrictive single factor governs the final speed — the tool uses the minimum of all factors rather than their product. This prevents compounding mild penalties and correctly reflects NATO doctrine that the terrain constraint limiting movement the most determines the achievable speed.</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100"/>
        <w:gridCol w:w="3760"/>
        <w:gridCol w:w="250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Factor</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Name</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What It Represents</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Data Source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Slope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Terrain gradient — steeper slopes reduce or stop vehicles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DEM or pre-drawn slope regions</w:t>
            </w:r>
          </w:p>
        </w:tc>
      </w:tr>
      <w:tr>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F2</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Vegetation Traffic Impact</w:t>
            </w:r>
          </w:p>
        </w:tc>
        <w:tc>
          <w:tcPr>
            <w:tcW w:type="dxa" w:w="3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Resistance to movement through vegetation (VTI 0–1)</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Land-cover raster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Vegetation Spacing / Stems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Room to manoeuvre between trees (spacing, stem diameter)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Land-cover raster</w:t>
            </w:r>
          </w:p>
        </w:tc>
      </w:tr>
      <w:tr>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F4</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 (Dry)</w:t>
            </w:r>
          </w:p>
        </w:tc>
        <w:tc>
          <w:tcPr>
            <w:tcW w:type="dxa" w:w="3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 bearing capacity under dry conditions (RCI-based)</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 polygon FC</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 (Wet)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 bearing capacity under wet conditions (RCI-based)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 polygon FC</w:t>
            </w:r>
          </w:p>
        </w:tc>
      </w:tr>
    </w:tbl>
    <w:p>
      <w:pPr>
        <w:spacing w:after="80" w:before="80"/>
      </w:pPr>
      <w:r/>
    </w:p>
    <w:p>
      <w:pPr>
        <w:spacing w:after="60" w:before="60"/>
      </w:pPr>
      <w:r>
        <w:rPr>
          <w:rFonts w:ascii="Arial" w:cs="Arial" w:eastAsia="Arial" w:hAnsi="Arial"/>
          <w:sz w:val="22"/>
          <w:szCs w:val="22"/>
        </w:rPr>
        <w:t>The final speed for each polygon is:</w:t>
      </w:r>
    </w:p>
    <w:p>
      <w:pPr>
        <w:spacing w:after="80" w:before="80"/>
        <w:jc w:val="center"/>
      </w:pPr>
      <w:r>
        <w:rPr>
          <w:rFonts w:ascii="Courier New" w:cs="Courier New" w:eastAsia="Courier New" w:hAnsi="Courier New"/>
          <w:color w:val="1F3864"/>
          <w:sz w:val="20"/>
          <w:szCs w:val="20"/>
        </w:rPr>
        <w:t>Speed (km/h) = Vehicle Max Speed × min(F1, F2, F3, F_soil, F_hydro)</w:t>
      </w:r>
    </w:p>
    <w:p>
      <w:pPr>
        <w:spacing w:after="60" w:before="60"/>
      </w:pPr>
      <w:r>
        <w:rPr>
          <w:rFonts w:ascii="Arial" w:cs="Arial" w:eastAsia="Arial" w:hAnsi="Arial"/>
          <w:sz w:val="22"/>
          <w:szCs w:val="22"/>
        </w:rPr>
        <w:t>If any single factor equals 0.0, the polygon is a No-Go for that vehicle regardless of the other factors.</w:t>
      </w:r>
    </w:p>
    <w:p>
      <w:pPr>
        <w:spacing w:after="80" w:before="80"/>
      </w:pPr>
      <w:r/>
    </w:p>
    <w:p>
      <w:pPr>
        <w:pStyle w:val="Heading2"/>
        <w:spacing w:after="100" w:before="280"/>
      </w:pPr>
      <w:r>
        <w:rPr>
          <w:rFonts w:ascii="Arial" w:cs="Arial" w:eastAsia="Arial" w:hAnsi="Arial"/>
          <w:b/>
          <w:bCs/>
          <w:color w:val="2E75B6"/>
          <w:sz w:val="28"/>
          <w:szCs w:val="28"/>
        </w:rPr>
        <w:t>1.4  Tool Architecture — Steps 0, 0b, and 1 to 4</w:t>
      </w:r>
    </w:p>
    <w:p>
      <w:pPr>
        <w:spacing w:after="60" w:before="60"/>
      </w:pPr>
      <w:r>
        <w:t>All analysis is organised into sequential steps. Step 0 (optional) consolidates raw MGCP source data; Step 0b inventories the complete data root and writes a factual catalog; Step 1 then confirms and pre-processes the selected inputs. Completing Step 1 once is sufficient for all subsequent runs.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76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Step</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Tool Name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Purpose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Step 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Load MGCP Data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Optional. Batch-imports MGCP data (GeoPackage / File GDB / Shapefile cells) into one geodatabase, merges matching feature classes across cells, and writes mgcp_manifest.json so Step 1 can auto-fill its Soil, Hydrology and Contour inputs (new in v0.50).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Step 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Project Setup &amp; Pre-process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Enter all raw data sources once. Pre-processes soil and vegetation into CCM-ready polygon layers. Saves ccm_project.json so Steps 2 and 3 auto-populate.</w:t>
            </w:r>
          </w:p>
        </w:tc>
      </w:tr>
      <w:tr>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Step 2</w:t>
            </w:r>
          </w:p>
        </w:tc>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Generate Mobility Map</w:t>
            </w:r>
          </w:p>
        </w:tc>
        <w:tc>
          <w:tcPr>
            <w:tcW w:type="dxa" w:w="5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Generates the vehicle speed surface — the core mobility map. Run once per vehicle per moisture condition.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Step 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Advanced Analysis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Five optional post-processing analyses: Reason Map, Reachability Map, Vehicle Comparison, Obstacle Detection, and Waypoint Routing.</w:t>
            </w:r>
          </w:p>
        </w:tc>
      </w:tr>
      <w:tr>
        <w:tc>
          <w:tcPr>
            <w:tcW w:type="dxa" w:w="1000"/>
          </w:tcPr>
          <w:p>
            <w:r>
              <w:rPr>
                <w:rFonts w:ascii="Arial" w:hAnsi="Arial"/>
                <w:sz w:val="20"/>
              </w:rPr>
              <w:t>Step 4</w:t>
            </w:r>
          </w:p>
        </w:tc>
        <w:tc>
          <w:tcPr>
            <w:tcW w:type="dxa" w:w="2600"/>
          </w:tcPr>
          <w:p>
            <w:r>
              <w:rPr>
                <w:rFonts w:ascii="Arial" w:hAnsi="Arial"/>
                <w:sz w:val="20"/>
              </w:rPr>
              <w:t>Compare Two Vehicles</w:t>
            </w:r>
          </w:p>
        </w:tc>
        <w:tc>
          <w:tcPr>
            <w:tcW w:type="dxa" w:w="5760"/>
          </w:tcPr>
          <w:p>
            <w:r>
              <w:rPr>
                <w:rFonts w:ascii="Arial" w:hAnsi="Arial"/>
                <w:sz w:val="20"/>
              </w:rPr>
              <w:t>Standalone tool: compares any two Speed Surface feature classes directly (same engine as Step 3's Vehicle Comparison), without needing a project folder. Both inputs must share the same Projected CRS (v0.54.0 warns if not).</w:t>
            </w:r>
          </w:p>
        </w:tc>
      </w:tr>
    </w:tbl>
    <w:p>
      <w:r/>
    </w:p>
    <w:p>
      <w:pPr>
        <w:pStyle w:val="Heading1"/>
        <w:pBdr>
          <w:bottom w:val="single" w:color="2E75B6" w:sz="6" w:space="4"/>
        </w:pBdr>
        <w:spacing w:after="120" w:before="360"/>
      </w:pPr>
      <w:r>
        <w:rPr>
          <w:rFonts w:ascii="Arial" w:cs="Arial" w:eastAsia="Arial" w:hAnsi="Arial"/>
          <w:b/>
          <w:bCs/>
          <w:color w:val="1F3864"/>
          <w:sz w:val="32"/>
          <w:szCs w:val="32"/>
        </w:rPr>
        <w:t>2.  Quick-Start Guide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spacing w:after="40" w:before="0"/>
            </w:pPr>
            <w:r>
              <w:rPr>
                <w:rFonts w:ascii="Arial" w:cs="Arial" w:eastAsia="Arial" w:hAnsi="Arial"/>
                <w:b/>
                <w:bCs/>
                <w:color w:val="2E75B6"/>
                <w:sz w:val="22"/>
                <w:szCs w:val="22"/>
              </w:rPr>
              <w:t>Who Is This Section For?</w:t>
            </w:r>
          </w:p>
          <w:p>
            <w:pPr>
              <w:spacing w:after="0" w:before="0"/>
            </w:pPr>
            <w:r>
              <w:rPr>
                <w:rFonts w:ascii="Arial" w:cs="Arial" w:eastAsia="Arial" w:hAnsi="Arial"/>
                <w:sz w:val="22"/>
                <w:szCs w:val="22"/>
              </w:rPr>
              <w:t>This section is for field operators and mission planners who need to run the tool quickly. It assumes ArcGIS Pro is already installed and the toolbox has been loaded by a GIS analyst.</w:t>
            </w:r>
          </w:p>
        </w:tc>
      </w:tr>
    </w:tbl>
    <w:p>
      <w:pPr>
        <w:spacing w:after="80" w:before="80"/>
      </w:pPr>
      <w:r/>
    </w:p>
    <w:p>
      <w:pPr>
        <w:pStyle w:val="Heading2"/>
        <w:spacing w:after="100" w:before="280"/>
      </w:pPr>
      <w:r>
        <w:rPr>
          <w:rFonts w:ascii="Arial" w:cs="Arial" w:eastAsia="Arial" w:hAnsi="Arial"/>
          <w:b/>
          <w:bCs/>
          <w:color w:val="2E75B6"/>
          <w:sz w:val="28"/>
          <w:szCs w:val="28"/>
        </w:rPr>
        <w:t>2.1  What You Need Before Starting</w:t>
      </w:r>
    </w:p>
    <w:p>
      <w:pPr>
        <w:pStyle w:val="ListParagraph"/>
        <w:numPr>
          <w:ilvl w:val="0"/>
          <w:numId w:val="3"/>
        </w:numPr>
        <w:spacing w:after="40" w:before="40"/>
      </w:pPr>
      <w:r>
        <w:rPr>
          <w:rFonts w:ascii="Arial" w:cs="Arial" w:eastAsia="Arial" w:hAnsi="Arial"/>
          <w:sz w:val="22"/>
          <w:szCs w:val="22"/>
        </w:rPr>
        <w:t>ArcGIS Pro 3.5 or newer, with Spatial Analyst extension licensed</w:t>
      </w:r>
    </w:p>
    <w:p>
      <w:pPr>
        <w:pStyle w:val="ListParagraph"/>
        <w:numPr>
          <w:ilvl w:val="0"/>
          <w:numId w:val="3"/>
        </w:numPr>
        <w:spacing w:after="40" w:before="40"/>
      </w:pPr>
      <w:r>
        <w:rPr>
          <w:rFonts w:ascii="Arial" w:cs="Arial" w:eastAsia="Arial" w:hAnsi="Arial"/>
          <w:sz w:val="22"/>
          <w:szCs w:val="22"/>
        </w:rPr>
        <w:t>The CCM Tool folder (CCM_Tool_v0.60.10) accessible on your computer</w:t>
      </w:r>
    </w:p>
    <w:p>
      <w:pPr>
        <w:pStyle w:val="ListParagraph"/>
        <w:numPr>
          <w:ilvl w:val="0"/>
          <w:numId w:val="3"/>
        </w:numPr>
        <w:spacing w:after="40" w:before="40"/>
      </w:pPr>
      <w:r>
        <w:rPr>
          <w:rFonts w:ascii="Arial" w:cs="Arial" w:eastAsia="Arial" w:hAnsi="Arial"/>
          <w:sz w:val="22"/>
          <w:szCs w:val="22"/>
        </w:rPr>
        <w:t>An Analysis Extent polygon (your study area) in a Projected CRS (e.g., UTM)</w:t>
      </w:r>
    </w:p>
    <w:p>
      <w:pPr>
        <w:pStyle w:val="ListParagraph"/>
        <w:numPr>
          <w:ilvl w:val="0"/>
          <w:numId w:val="3"/>
        </w:numPr>
        <w:spacing w:after="40" w:before="40"/>
      </w:pPr>
      <w:r>
        <w:rPr>
          <w:rFonts w:ascii="Arial" w:cs="Arial" w:eastAsia="Arial" w:hAnsi="Arial"/>
          <w:sz w:val="22"/>
          <w:szCs w:val="22"/>
        </w:rPr>
        <w:t>A DEM (Digital Elevation Model) raster OR a pre-drawn slope-regions polygon layer</w:t>
      </w:r>
    </w:p>
    <w:p>
      <w:pPr>
        <w:pStyle w:val="ListParagraph"/>
        <w:numPr>
          <w:ilvl w:val="0"/>
          <w:numId w:val="3"/>
        </w:numPr>
        <w:spacing w:after="40" w:before="40"/>
      </w:pPr>
      <w:r>
        <w:rPr>
          <w:rFonts w:ascii="Arial" w:cs="Arial" w:eastAsia="Arial" w:hAnsi="Arial"/>
          <w:sz w:val="22"/>
          <w:szCs w:val="22"/>
        </w:rPr>
        <w:t>Pre-processed soil data (your GIS analyst sets this up in Step 1)</w:t>
      </w:r>
    </w:p>
    <w:p>
      <w:pPr>
        <w:pStyle w:val="ListParagraph"/>
        <w:numPr>
          <w:ilvl w:val="0"/>
          <w:numId w:val="3"/>
        </w:numPr>
        <w:spacing w:after="40" w:before="40"/>
      </w:pPr>
      <w:r>
        <w:rPr>
          <w:rFonts w:ascii="Arial" w:cs="Arial" w:eastAsia="Arial" w:hAnsi="Arial"/>
          <w:sz w:val="22"/>
          <w:szCs w:val="22"/>
        </w:rPr>
        <w:t>Pre-processed vegetation data (your GIS analyst sets this up in Step 1)</w:t>
      </w:r>
    </w:p>
    <w:p>
      <w:pPr>
        <w:pStyle w:val="ListParagraph"/>
        <w:numPr>
          <w:ilvl w:val="0"/>
          <w:numId w:val="3"/>
        </w:numPr>
        <w:spacing w:after="40" w:before="40"/>
      </w:pPr>
      <w:r>
        <w:rPr>
          <w:rFonts w:ascii="Arial" w:cs="Arial" w:eastAsia="Arial" w:hAnsi="Arial"/>
          <w:sz w:val="22"/>
          <w:szCs w:val="22"/>
        </w:rPr>
        <w:t>A Vehicle Definitions CSV file (Vehicles_Can.csv is included)</w:t>
      </w:r>
    </w:p>
    <w:p>
      <w:pPr>
        <w:spacing w:after="80" w:before="80"/>
      </w:pPr>
      <w:r/>
    </w:p>
    <w:p>
      <w:pPr>
        <w:pStyle w:val="Heading2"/>
        <w:spacing w:after="100" w:before="280"/>
      </w:pPr>
      <w:r>
        <w:rPr>
          <w:rFonts w:ascii="Arial" w:cs="Arial" w:eastAsia="Arial" w:hAnsi="Arial"/>
          <w:b/>
          <w:bCs/>
          <w:color w:val="2E75B6"/>
          <w:sz w:val="28"/>
          <w:szCs w:val="28"/>
        </w:rPr>
        <w:t>2.2  Loading the Toolbox in ArcGIS Pro</w:t>
      </w:r>
    </w:p>
    <w:p>
      <w:pPr>
        <w:pStyle w:val="ListParagraph"/>
        <w:numPr>
          <w:ilvl w:val="0"/>
          <w:numId w:val="3"/>
        </w:numPr>
        <w:spacing w:after="40" w:before="40"/>
      </w:pPr>
      <w:r>
        <w:rPr>
          <w:rFonts w:ascii="Arial" w:cs="Arial" w:eastAsia="Arial" w:hAnsi="Arial"/>
          <w:sz w:val="22"/>
          <w:szCs w:val="22"/>
        </w:rPr>
        <w:t>Open ArcGIS Pro and your project.</w:t>
      </w:r>
    </w:p>
    <w:p>
      <w:pPr>
        <w:pStyle w:val="ListParagraph"/>
        <w:numPr>
          <w:ilvl w:val="0"/>
          <w:numId w:val="3"/>
        </w:numPr>
        <w:spacing w:after="40" w:before="40"/>
      </w:pPr>
      <w:r>
        <w:rPr>
          <w:rFonts w:ascii="Arial" w:cs="Arial" w:eastAsia="Arial" w:hAnsi="Arial"/>
          <w:sz w:val="22"/>
          <w:szCs w:val="22"/>
        </w:rPr>
        <w:t>In the Catalog pane, right-click Toolboxes → Add Toolbox.</w:t>
      </w:r>
    </w:p>
    <w:p>
      <w:pPr>
        <w:pStyle w:val="ListParagraph"/>
        <w:numPr>
          <w:ilvl w:val="0"/>
          <w:numId w:val="3"/>
        </w:numPr>
        <w:spacing w:after="40" w:before="40"/>
      </w:pPr>
      <w:r>
        <w:rPr>
          <w:rFonts w:ascii="Arial" w:cs="Arial" w:eastAsia="Arial" w:hAnsi="Arial"/>
          <w:sz w:val="22"/>
          <w:szCs w:val="22"/>
        </w:rPr>
        <w:t>Navigate to the CCM_Tool_v0.60.10 folder and select CCM_Tool_v0.60.10.pyt.</w:t>
      </w:r>
    </w:p>
    <w:p>
      <w:pPr>
        <w:pStyle w:val="ListParagraph"/>
        <w:numPr>
          <w:ilvl w:val="0"/>
          <w:numId w:val="3"/>
        </w:numPr>
        <w:spacing w:after="40" w:before="40"/>
      </w:pPr>
      <w:r>
        <w:rPr>
          <w:rFonts w:ascii="Arial" w:cs="Arial" w:eastAsia="Arial" w:hAnsi="Arial"/>
          <w:sz w:val="22"/>
          <w:szCs w:val="22"/>
        </w:rPr>
        <w:t>Expand the toolbox. You will see five tools: Step 0, Step 1, Step 2, Step 3, and Step 4 (Compare Two Vehicles).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40" w:before="0"/>
            </w:pPr>
            <w:r>
              <w:rPr>
                <w:rFonts w:ascii="Arial" w:cs="Arial" w:eastAsia="Arial" w:hAnsi="Arial"/>
                <w:b/>
                <w:bCs/>
                <w:color w:val="2E7D32"/>
                <w:sz w:val="22"/>
                <w:szCs w:val="22"/>
              </w:rPr>
              <w:t>Tip</w:t>
            </w:r>
          </w:p>
          <w:p>
            <w:pPr>
              <w:spacing w:after="0" w:before="0"/>
            </w:pPr>
            <w:r>
              <w:rPr>
                <w:rFonts w:ascii="Arial" w:cs="Arial" w:eastAsia="Arial" w:hAnsi="Arial"/>
                <w:sz w:val="22"/>
                <w:szCs w:val="22"/>
              </w:rPr>
              <w:t>Once the toolbox is added to your ArcGIS Pro project, it will be remembered next time you open that project. You only need to add it once.</w:t>
            </w:r>
          </w:p>
        </w:tc>
      </w:tr>
    </w:tbl>
    <w:p>
      <w:pPr>
        <w:spacing w:after="80" w:before="80"/>
      </w:pPr>
      <w:r/>
    </w:p>
    <w:p>
      <w:pPr>
        <w:pStyle w:val="Heading2"/>
        <w:spacing w:after="100" w:before="280"/>
      </w:pPr>
      <w:r>
        <w:rPr>
          <w:rFonts w:ascii="Arial" w:cs="Arial" w:eastAsia="Arial" w:hAnsi="Arial"/>
          <w:b/>
          <w:bCs/>
          <w:color w:val="2E75B6"/>
          <w:sz w:val="28"/>
          <w:szCs w:val="28"/>
        </w:rPr>
        <w:t>2.3  Running the Tool — Step by Step</w:t>
      </w:r>
    </w:p>
    <w:p>
      <w:pPr>
        <w:pStyle w:val="Heading3"/>
        <w:spacing w:after="80" w:before="200"/>
      </w:pPr>
      <w:r>
        <w:rPr>
          <w:rFonts w:ascii="Arial" w:cs="Arial" w:eastAsia="Arial" w:hAnsi="Arial"/>
          <w:b/>
          <w:bCs/>
          <w:color w:val="1F3864"/>
          <w:sz w:val="24"/>
          <w:szCs w:val="24"/>
        </w:rPr>
        <w:t>Step 0b — Data Intelligence Scan (optional, recommended)</w:t>
      </w:r>
    </w:p>
    <w:p>
      <w:pPr>
        <w:spacing w:after="120"/>
      </w:pPr>
      <w:r>
        <w:rPr>
          <w:rFonts w:ascii="Arial" w:cs="Arial" w:eastAsia="Arial" w:hAnsi="Arial"/>
          <w:sz w:val="22"/>
          <w:szCs w:val="22"/>
        </w:rPr>
        <w:t>Before Step 1, you can run Step 0b to scan your Project Root Folder and get a factual inventory plus reviewable Quality / Fitness / Confidence recommendations for each input role (DEM, Soil, Vegetation, Hydrology, etc.) -- see Section 2 of the Quick Start guide. Step 0b never selects an input for you or modifies your source data; Step 1 simply displays its recommendations at startup so you can accept or override each one explicitly. Point Step 0b at the same Project Root Folder you will use for every other step.</w:t>
      </w:r>
    </w:p>
    <w:p>
      <w:pPr>
        <w:pStyle w:val="Heading3"/>
        <w:spacing w:after="80" w:before="200"/>
      </w:pPr>
      <w:r>
        <w:rPr>
          <w:rFonts w:ascii="Arial" w:cs="Arial" w:eastAsia="Arial" w:hAnsi="Arial"/>
          <w:b/>
          <w:bCs/>
          <w:color w:val="1F3864"/>
          <w:sz w:val="24"/>
          <w:szCs w:val="24"/>
        </w:rPr>
        <w:t>Step 1 — Project Setup (one time only)</w:t>
      </w:r>
    </w:p>
    <w:p>
      <w:pPr>
        <w:pStyle w:val="ListParagraph"/>
        <w:numPr>
          <w:ilvl w:val="0"/>
          <w:numId w:val="3"/>
        </w:numPr>
        <w:spacing w:after="40" w:before="40"/>
      </w:pPr>
      <w:r>
        <w:rPr>
          <w:rFonts w:ascii="Arial" w:cs="Arial" w:eastAsia="Arial" w:hAnsi="Arial"/>
          <w:sz w:val="22"/>
          <w:szCs w:val="22"/>
        </w:rPr>
        <w:t>Double-click Step 1. Project Setup &amp; Pre-process.</w:t>
      </w:r>
    </w:p>
    <w:p>
      <w:pPr>
        <w:pStyle w:val="ListParagraph"/>
        <w:numPr>
          <w:ilvl w:val="0"/>
          <w:numId w:val="3"/>
        </w:numPr>
        <w:spacing w:after="40" w:before="40"/>
      </w:pPr>
      <w:r>
        <w:rPr>
          <w:rFonts w:ascii="Arial" w:cs="Arial" w:eastAsia="Arial" w:hAnsi="Arial"/>
          <w:sz w:val="22"/>
          <w:szCs w:val="22"/>
        </w:rPr>
        <w:t>Set Project Root Folder — the one folder shared by every step (Step 0, 0b, 1, 2, 3). It can be empty, or a folder Step 0 / Step 0b already created (e.g., C:\CCM\Mission01).</w:t>
      </w:r>
    </w:p>
    <w:p>
      <w:pPr>
        <w:pStyle w:val="ListParagraph"/>
        <w:numPr>
          <w:ilvl w:val="0"/>
          <w:numId w:val="3"/>
        </w:numPr>
        <w:spacing w:after="40" w:before="40"/>
      </w:pPr>
      <w:r>
        <w:rPr>
          <w:rFonts w:ascii="Arial" w:cs="Arial" w:eastAsia="Arial" w:hAnsi="Arial"/>
          <w:sz w:val="22"/>
          <w:szCs w:val="22"/>
        </w:rPr>
        <w:t>Set Analysis Extent — your study area polygon. It must be in a Projected CRS (UTM, etc.).</w:t>
      </w:r>
    </w:p>
    <w:p>
      <w:pPr>
        <w:pStyle w:val="ListParagraph"/>
        <w:numPr>
          <w:ilvl w:val="0"/>
          <w:numId w:val="3"/>
        </w:numPr>
        <w:spacing w:after="40" w:before="40"/>
      </w:pPr>
      <w:r>
        <w:rPr>
          <w:rFonts w:ascii="Arial" w:cs="Arial" w:eastAsia="Arial" w:hAnsi="Arial"/>
          <w:sz w:val="22"/>
          <w:szCs w:val="22"/>
        </w:rPr>
        <w:t>Set DEM or Slope Regions (or both).</w:t>
      </w:r>
    </w:p>
    <w:p>
      <w:pPr>
        <w:pStyle w:val="ListParagraph"/>
        <w:numPr>
          <w:ilvl w:val="0"/>
          <w:numId w:val="3"/>
        </w:numPr>
        <w:spacing w:after="40" w:before="40"/>
      </w:pPr>
      <w:r>
        <w:rPr>
          <w:rFonts w:ascii="Arial" w:cs="Arial" w:eastAsia="Arial" w:hAnsi="Arial"/>
          <w:sz w:val="22"/>
          <w:szCs w:val="22"/>
        </w:rPr>
        <w:t>Set Default Soil Moisture Condition (dry / moist / wet).</w:t>
      </w:r>
    </w:p>
    <w:p>
      <w:pPr>
        <w:pStyle w:val="ListParagraph"/>
        <w:numPr>
          <w:ilvl w:val="0"/>
          <w:numId w:val="3"/>
        </w:numPr>
        <w:spacing w:after="40" w:before="40"/>
      </w:pPr>
      <w:r>
        <w:rPr>
          <w:rFonts w:ascii="Arial" w:cs="Arial" w:eastAsia="Arial" w:hAnsi="Arial"/>
          <w:sz w:val="22"/>
          <w:szCs w:val="22"/>
        </w:rPr>
        <w:t>Under Soil Pre-processing: select your soil source and provide the required files.</w:t>
      </w:r>
    </w:p>
    <w:p>
      <w:pPr>
        <w:pStyle w:val="ListParagraph"/>
        <w:numPr>
          <w:ilvl w:val="0"/>
          <w:numId w:val="3"/>
        </w:numPr>
        <w:spacing w:after="40" w:before="40"/>
      </w:pPr>
      <w:r>
        <w:rPr>
          <w:rFonts w:ascii="Arial" w:cs="Arial" w:eastAsia="Arial" w:hAnsi="Arial"/>
          <w:sz w:val="22"/>
          <w:szCs w:val="22"/>
        </w:rPr>
        <w:t>Under Vegetation Pre-processing: select your vegetation raster files.</w:t>
      </w:r>
    </w:p>
    <w:p>
      <w:pPr>
        <w:pStyle w:val="ListParagraph"/>
        <w:numPr>
          <w:ilvl w:val="0"/>
          <w:numId w:val="3"/>
        </w:numPr>
        <w:spacing w:after="40" w:before="40"/>
      </w:pPr>
      <w:r>
        <w:rPr>
          <w:rFonts w:ascii="Arial" w:cs="Arial" w:eastAsia="Arial" w:hAnsi="Arial"/>
          <w:sz w:val="22"/>
          <w:szCs w:val="22"/>
        </w:rPr>
        <w:t>Under Hydrology &amp; Vehicles: set any water body layers and the Vehicle Definitions CSV.</w:t>
      </w:r>
    </w:p>
    <w:p>
      <w:pPr>
        <w:pStyle w:val="ListParagraph"/>
        <w:numPr>
          <w:ilvl w:val="0"/>
          <w:numId w:val="3"/>
        </w:numPr>
        <w:spacing w:after="40" w:before="40"/>
      </w:pPr>
      <w:r>
        <w:rPr>
          <w:rFonts w:ascii="Arial" w:cs="Arial" w:eastAsia="Arial" w:hAnsi="Arial"/>
          <w:sz w:val="22"/>
          <w:szCs w:val="22"/>
        </w:rPr>
        <w:t>Click Run. The tool will pre-process all inputs and save ccm_project.json in your Project Root Folder.</w:t>
      </w:r>
    </w:p>
    <w:p>
      <w:pPr>
        <w:spacing w:after="80" w:before="80"/>
      </w:pPr>
      <w:r/>
    </w:p>
    <w:p>
      <w:pPr>
        <w:pStyle w:val="Heading3"/>
        <w:spacing w:after="80" w:before="200"/>
      </w:pPr>
      <w:r>
        <w:rPr>
          <w:rFonts w:ascii="Arial" w:cs="Arial" w:eastAsia="Arial" w:hAnsi="Arial"/>
          <w:b/>
          <w:bCs/>
          <w:color w:val="1F3864"/>
          <w:sz w:val="24"/>
          <w:szCs w:val="24"/>
        </w:rPr>
        <w:t>Step 2 — Generate the Mobility Map</w:t>
      </w:r>
    </w:p>
    <w:p>
      <w:pPr>
        <w:pStyle w:val="ListParagraph"/>
        <w:numPr>
          <w:ilvl w:val="0"/>
          <w:numId w:val="3"/>
        </w:numPr>
        <w:spacing w:after="40" w:before="40"/>
      </w:pPr>
      <w:r>
        <w:rPr>
          <w:rFonts w:ascii="Arial" w:cs="Arial" w:eastAsia="Arial" w:hAnsi="Arial"/>
          <w:sz w:val="22"/>
          <w:szCs w:val="22"/>
        </w:rPr>
        <w:t>Double-click Step 2.</w:t>
      </w:r>
    </w:p>
    <w:p>
      <w:pPr>
        <w:pStyle w:val="ListParagraph"/>
        <w:numPr>
          <w:ilvl w:val="0"/>
          <w:numId w:val="3"/>
        </w:numPr>
        <w:spacing w:after="40" w:before="40"/>
      </w:pPr>
      <w:r>
        <w:rPr>
          <w:rFonts w:ascii="Arial" w:cs="Arial" w:eastAsia="Arial" w:hAnsi="Arial"/>
          <w:sz w:val="22"/>
          <w:szCs w:val="22"/>
        </w:rPr>
        <w:t>Select your Project Root Folder (the same folder used in Step 1). All other fields auto-fill from ccm_project.json.</w:t>
      </w:r>
    </w:p>
    <w:p>
      <w:pPr>
        <w:pStyle w:val="ListParagraph"/>
        <w:numPr>
          <w:ilvl w:val="0"/>
          <w:numId w:val="3"/>
        </w:numPr>
        <w:spacing w:after="40" w:before="40"/>
      </w:pPr>
      <w:r>
        <w:rPr>
          <w:rFonts w:ascii="Arial" w:cs="Arial" w:eastAsia="Arial" w:hAnsi="Arial"/>
          <w:sz w:val="22"/>
          <w:szCs w:val="22"/>
        </w:rPr>
        <w:t>Select the vehicle to analyse from the dropdown (populated from the Vehicle CSV). Run Step 2 once per vehicle — each run produces its own speed surface.</w:t>
      </w:r>
    </w:p>
    <w:p>
      <w:pPr>
        <w:pStyle w:val="ListParagraph"/>
        <w:numPr>
          <w:ilvl w:val="0"/>
          <w:numId w:val="3"/>
        </w:numPr>
        <w:spacing w:after="40" w:before="40"/>
      </w:pPr>
      <w:r>
        <w:rPr>
          <w:rFonts w:ascii="Arial" w:cs="Arial" w:eastAsia="Arial" w:hAnsi="Arial"/>
          <w:sz w:val="22"/>
          <w:szCs w:val="22"/>
        </w:rPr>
        <w:t>Set the soil moisture condition.</w:t>
      </w:r>
    </w:p>
    <w:p>
      <w:pPr>
        <w:pStyle w:val="ListParagraph"/>
        <w:numPr>
          <w:ilvl w:val="0"/>
          <w:numId w:val="3"/>
        </w:numPr>
        <w:spacing w:after="40" w:before="40"/>
      </w:pPr>
      <w:r>
        <w:rPr>
          <w:rFonts w:ascii="Arial" w:cs="Arial" w:eastAsia="Arial" w:hAnsi="Arial"/>
          <w:sz w:val="22"/>
          <w:szCs w:val="22"/>
        </w:rPr>
        <w:t>Optional — under Weather, tick Use Live Weather to fetch current rainfall for the area and soften soil strength accordingly, or enter a Manual Rainfall Override (mm/hr), which takes precedence over the live lookup. See Section 7.</w:t>
      </w:r>
    </w:p>
    <w:p>
      <w:pPr>
        <w:pStyle w:val="ListParagraph"/>
        <w:numPr>
          <w:ilvl w:val="0"/>
          <w:numId w:val="3"/>
        </w:numPr>
        <w:spacing w:after="40" w:before="40"/>
      </w:pPr>
      <w:r>
        <w:rPr>
          <w:rFonts w:ascii="Arial" w:cs="Arial" w:eastAsia="Arial" w:hAnsi="Arial"/>
          <w:sz w:val="22"/>
          <w:szCs w:val="22"/>
        </w:rPr>
        <w:t>Click Run. The tool generates a speed surface polygon FC in your project GDB.</w:t>
      </w:r>
    </w:p>
    <w:p>
      <w:pPr>
        <w:spacing w:after="80" w:before="80"/>
      </w:pPr>
      <w:r/>
    </w:p>
    <w:p>
      <w:pPr>
        <w:pStyle w:val="Heading3"/>
        <w:spacing w:after="80" w:before="200"/>
      </w:pPr>
      <w:r>
        <w:rPr>
          <w:rFonts w:ascii="Arial" w:cs="Arial" w:eastAsia="Arial" w:hAnsi="Arial"/>
          <w:b/>
          <w:bCs/>
          <w:color w:val="1F3864"/>
          <w:sz w:val="24"/>
          <w:szCs w:val="24"/>
        </w:rPr>
        <w:t>Step 3 — Advanced Analysis (optional)</w:t>
      </w:r>
    </w:p>
    <w:p>
      <w:pPr>
        <w:pStyle w:val="ListParagraph"/>
        <w:numPr>
          <w:ilvl w:val="0"/>
          <w:numId w:val="3"/>
        </w:numPr>
        <w:spacing w:after="40" w:before="40"/>
      </w:pPr>
      <w:r>
        <w:rPr>
          <w:rFonts w:ascii="Arial" w:cs="Arial" w:eastAsia="Arial" w:hAnsi="Arial"/>
          <w:sz w:val="22"/>
          <w:szCs w:val="22"/>
        </w:rPr>
        <w:t>Double-click Step 3. Advanced Analysis.</w:t>
      </w:r>
    </w:p>
    <w:p>
      <w:pPr>
        <w:pStyle w:val="ListParagraph"/>
        <w:numPr>
          <w:ilvl w:val="0"/>
          <w:numId w:val="3"/>
        </w:numPr>
        <w:spacing w:after="40" w:before="40"/>
      </w:pPr>
      <w:r>
        <w:rPr>
          <w:rFonts w:ascii="Arial" w:cs="Arial" w:eastAsia="Arial" w:hAnsi="Arial"/>
          <w:sz w:val="22"/>
          <w:szCs w:val="22"/>
        </w:rPr>
        <w:t>Select your Project Root Folder (auto-fills Speed Surface FC).</w:t>
      </w:r>
    </w:p>
    <w:p>
      <w:pPr>
        <w:pStyle w:val="ListParagraph"/>
        <w:numPr>
          <w:ilvl w:val="0"/>
          <w:numId w:val="3"/>
        </w:numPr>
        <w:spacing w:after="40" w:before="40"/>
      </w:pPr>
      <w:r>
        <w:rPr>
          <w:rFonts w:ascii="Arial" w:cs="Arial" w:eastAsia="Arial" w:hAnsi="Arial"/>
          <w:sz w:val="22"/>
          <w:szCs w:val="22"/>
        </w:rPr>
        <w:t>Enable the analyses you want (Reason Map, Isochrone, Vehicle Compare, Obstacle Detect, Waypoint Route).</w:t>
      </w:r>
    </w:p>
    <w:p>
      <w:pPr>
        <w:pStyle w:val="ListParagraph"/>
        <w:numPr>
          <w:ilvl w:val="0"/>
          <w:numId w:val="3"/>
        </w:numPr>
        <w:spacing w:after="40" w:before="40"/>
      </w:pPr>
      <w:r>
        <w:rPr>
          <w:rFonts w:ascii="Arial" w:cs="Arial" w:eastAsia="Arial" w:hAnsi="Arial"/>
          <w:sz w:val="22"/>
          <w:szCs w:val="22"/>
        </w:rPr>
        <w:t>Fill in any required parameters for the enabled analyses.</w:t>
      </w:r>
    </w:p>
    <w:p>
      <w:pPr>
        <w:pStyle w:val="ListParagraph"/>
        <w:numPr>
          <w:ilvl w:val="0"/>
          <w:numId w:val="3"/>
        </w:numPr>
        <w:spacing w:after="40" w:before="40"/>
      </w:pPr>
      <w:r>
        <w:rPr>
          <w:rFonts w:ascii="Arial" w:cs="Arial" w:eastAsia="Arial" w:hAnsi="Arial"/>
          <w:sz w:val="22"/>
          <w:szCs w:val="22"/>
        </w:rPr>
        <w:t>Click Run.</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3F3" w:val="clear"/>
            <w:tcMar>
              <w:top w:type="dxa" w:w="120"/>
              <w:left w:type="dxa" w:w="200"/>
              <w:bottom w:type="dxa" w:w="120"/>
              <w:right w:type="dxa" w:w="200"/>
            </w:tcMar>
          </w:tcPr>
          <w:p>
            <w:pPr>
              <w:spacing w:after="40" w:before="0"/>
            </w:pPr>
            <w:r>
              <w:rPr>
                <w:rFonts w:ascii="Arial" w:cs="Arial" w:eastAsia="Arial" w:hAnsi="Arial"/>
                <w:b/>
                <w:bCs/>
                <w:color w:val="555555"/>
                <w:sz w:val="22"/>
                <w:szCs w:val="22"/>
              </w:rPr>
              <w:t>Note</w:t>
            </w:r>
          </w:p>
          <w:p>
            <w:pPr>
              <w:spacing w:after="0" w:before="0"/>
            </w:pPr>
            <w:r>
              <w:rPr>
                <w:rFonts w:ascii="Arial" w:cs="Arial" w:eastAsia="Arial" w:hAnsi="Arial"/>
                <w:sz w:val="22"/>
                <w:szCs w:val="22"/>
              </w:rPr>
              <w:t>You can run Step 3 multiple times with different settings without re-running Steps 1 or 2. The project config (ccm_project.json) persists all your data paths.</w:t>
            </w:r>
          </w:p>
        </w:tc>
      </w:tr>
    </w:tbl>
    <w:p>
      <w:pPr>
        <w:spacing w:after="80" w:before="80"/>
      </w:pPr>
      <w:r/>
    </w:p>
    <w:p>
      <w:pPr>
        <w:pStyle w:val="Heading2"/>
        <w:spacing w:after="100" w:before="280"/>
      </w:pPr>
      <w:r>
        <w:rPr>
          <w:rFonts w:ascii="Arial" w:cs="Arial" w:eastAsia="Arial" w:hAnsi="Arial"/>
          <w:b/>
          <w:bCs/>
          <w:color w:val="2E75B6"/>
          <w:sz w:val="28"/>
          <w:szCs w:val="28"/>
        </w:rPr>
        <w:t>2.4  Reading the Output Map</w:t>
      </w:r>
    </w:p>
    <w:p>
      <w:pPr>
        <w:spacing w:after="60" w:before="60"/>
      </w:pPr>
      <w:r>
        <w:rPr>
          <w:rFonts w:ascii="Arial" w:cs="Arial" w:eastAsia="Arial" w:hAnsi="Arial"/>
          <w:sz w:val="22"/>
          <w:szCs w:val="22"/>
        </w:rPr>
        <w:t>The main output is a polygon feature class with per-vehicle speed values. Apply the included Mobility_Symbology_Final.lyrx symbology file to display it in standard CCM colours: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Colour</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Mobility Class</w:t>
            </w:r>
          </w:p>
        </w:tc>
        <w:tc>
          <w:tcPr>
            <w:tcW w:type="dxa" w:w="5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Meaning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Dark Green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GO (Unrestricted)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 can travel at or near full speed</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Light Green</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GO (Slow Go)</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Vehicle can travel but speed is reduced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Yellow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Restricted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 can just barely pass; extreme caution required</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Orange</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Slow Go / Marginal</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Very slow movement; may require route selection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No Go</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Impassable for this vehicle under the selected moisture condition</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Dark Red / Black</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Absolute No Go</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Cannot be crossed regardless of conditions</w:t>
            </w:r>
          </w:p>
        </w:tc>
      </w:tr>
    </w:tbl>
    <w:p>
      <w:r/>
    </w:p>
    <w:p>
      <w:pPr>
        <w:spacing w:after="120"/>
      </w:pPr>
      <w:r>
        <w:rPr>
          <w:rFonts w:ascii="Arial" w:cs="Arial" w:eastAsia="Arial" w:hAnsi="Arial"/>
          <w:b/>
          <w:sz w:val="22"/>
          <w:szCs w:val="22"/>
        </w:rPr>
        <w:t xml:space="preserve">Map display (v0.51).  </w:t>
      </w:r>
      <w:r>
        <w:rPr>
          <w:rFonts w:ascii="Arial" w:cs="Arial" w:eastAsia="Arial" w:hAnsi="Arial"/>
          <w:sz w:val="22"/>
          <w:szCs w:val="22"/>
        </w:rPr>
        <w:t>All Step 3 outputs load into the CCM_TOOL_MAP under a per-run group layer named “CCM — vehicle (moisture)”. The speed surface is the only filled layer, so red always means No-Go. Reachability rings are hollow outlines on a blue→purple time ramp; the Vehicle Comparison layer colours only the areas where the two vehicles differ (teal = Vehicle A only, orange = Vehicle B only); obstacle areas are drawn as red hatching; the optimal route is a magenta line with start (gold) and end (red) markers on top.</w:t>
      </w:r>
    </w:p>
    <w:p>
      <w:pPr>
        <w:pStyle w:val="Heading2"/>
        <w:spacing w:after="100" w:before="280"/>
      </w:pPr>
      <w:r>
        <w:rPr>
          <w:rFonts w:ascii="Arial" w:cs="Arial" w:eastAsia="Arial" w:hAnsi="Arial"/>
          <w:b/>
          <w:bCs/>
          <w:color w:val="2E75B6"/>
          <w:sz w:val="28"/>
          <w:szCs w:val="28"/>
        </w:rPr>
        <w:t>2.5  Step 0 — Load MGCP Data (new in v0.50)</w:t>
      </w:r>
    </w:p>
    <w:p>
      <w:pPr>
        <w:spacing w:after="120"/>
      </w:pPr>
      <w:r>
        <w:rPr>
          <w:rFonts w:ascii="Arial" w:cs="Arial" w:eastAsia="Arial" w:hAnsi="Arial"/>
          <w:sz w:val="22"/>
          <w:szCs w:val="22"/>
        </w:rPr>
        <w:t>Step 0 is an optional loader that consolidates raw MGCP source data before Step 1. It batch-imports GeoPackages (.gpkg), File Geodatabases (.gdb), and Shapefile cell folders (recursive cell\FC\*.shp scanning) into a single output geodatabase, appending matching feature-class names across cells into one merged layer per feature code.</w:t>
      </w:r>
    </w:p>
    <w:p>
      <w:pPr>
        <w:spacing w:after="120"/>
      </w:pPr>
      <w:r>
        <w:rPr>
          <w:rFonts w:ascii="Arial" w:cs="Arial" w:eastAsia="Arial" w:hAnsi="Arial"/>
          <w:b/>
          <w:sz w:val="22"/>
          <w:szCs w:val="22"/>
        </w:rPr>
        <w:t xml:space="preserve">Catalog labels and theme filter.  </w:t>
      </w:r>
      <w:r>
        <w:rPr>
          <w:rFonts w:ascii="Arial" w:cs="Arial" w:eastAsia="Arial" w:hAnsi="Arial"/>
          <w:sz w:val="22"/>
          <w:szCs w:val="22"/>
        </w:rPr>
        <w:t>The feature-class pick-list shows human-readable catalog labels (e.g. AP030 — Road (Transportation)) instead of bare FACC codes, and a Themes to Import filter restricts the import to selected themes; the CCM-Relevant Only entry expands to Soil / Vegetation / Hydrography / Transportation / Elevation / Physiography. Imported layers can be grouped by theme in the map, renamed with their catalog labels.</w:t>
      </w:r>
    </w:p>
    <w:p>
      <w:pPr>
        <w:spacing w:after="120"/>
      </w:pPr>
      <w:r>
        <w:rPr>
          <w:rFonts w:ascii="Arial" w:cs="Arial" w:eastAsia="Arial" w:hAnsi="Arial"/>
          <w:b/>
          <w:sz w:val="22"/>
          <w:szCs w:val="22"/>
        </w:rPr>
        <w:t xml:space="preserve">Manifest hand-off to Step 1.  </w:t>
      </w:r>
      <w:r>
        <w:rPr>
          <w:rFonts w:ascii="Arial" w:cs="Arial" w:eastAsia="Arial" w:hAnsi="Arial"/>
          <w:sz w:val="22"/>
          <w:szCs w:val="22"/>
        </w:rPr>
        <w:t>After the import, Step 0 writes mgcp_manifest.json next to the output geodatabase, recording each layer’s code, name, theme, CCM role, geometry, feature count, spatial reference, fields and contributing source cells. Point the MGCP Manifest parameter of Step 1 at this file and Step 1 auto-fills its Raw Soil FC (DA010 / SMC), Hydrology Layers (water-body polygons) and Contour Lines (CA010) inputs — only where you left them empty; explicit choices are never overwritten.</w:t>
      </w:r>
    </w:p>
    <w:p>
      <w:pPr>
        <w:spacing w:after="120"/>
      </w:pPr>
      <w:r>
        <w:rPr>
          <w:rFonts w:ascii="Arial" w:cs="Arial" w:eastAsia="Arial" w:hAnsi="Arial"/>
          <w:b/>
          <w:sz w:val="22"/>
          <w:szCs w:val="22"/>
        </w:rPr>
        <w:t xml:space="preserve">Existing data handling.  </w:t>
      </w:r>
      <w:r>
        <w:rPr>
          <w:rFonts w:ascii="Arial" w:cs="Arial" w:eastAsia="Arial" w:hAnsi="Arial"/>
          <w:sz w:val="22"/>
          <w:szCs w:val="22"/>
        </w:rPr>
        <w:t>If a feature class already exists in the output geodatabase, choose APPEND (default — merge new cells into it), OVERWRITE (replace it, then merge), or SKIP. Cross-cell coordinate-system mismatches are detected and warned about; set an Output Coordinate System to force reprojection.</w:t>
      </w:r>
      <w:r>
        <w:rPr>
          <w:rFonts w:ascii="Arial" w:hAnsi="Arial"/>
          <w:sz w:val="22"/>
        </w:rPr>
        <w:t xml:space="preserve"> CRS recommendation (v0.54.0): if Output Coordinate System is left blank or Geographic, the dialog now warns you to set it to your study area's UTM zone here, so Step 1's Analysis Extent and supporting layers don't need a separate reprojection pass later. See Section 3.4.</w:t>
      </w:r>
    </w:p>
    <w:p>
      <w:pPr>
        <w:spacing w:after="120"/>
      </w:pPr>
      <w:r>
        <w:rPr>
          <w:rFonts w:ascii="Arial" w:cs="Arial" w:eastAsia="Arial" w:hAnsi="Arial"/>
          <w:b/>
          <w:sz w:val="22"/>
          <w:szCs w:val="22"/>
        </w:rPr>
        <w:t xml:space="preserve">Missing .prj repair (v0.51.1).  </w:t>
      </w:r>
      <w:r>
        <w:rPr>
          <w:rFonts w:ascii="Arial" w:cs="Arial" w:eastAsia="Arial" w:hAnsi="Arial"/>
          <w:sz w:val="22"/>
          <w:szCs w:val="22"/>
        </w:rPr>
        <w:t>Shapefiles without a .prj sidecar show their CRS as “Unknown” and used to trigger SR-mismatch warnings. Because MGCP data is WGS84 by specification, the tool now detects missing .prj files before the run (warning on the Shapefile Folders parameter) and, with “Assume WGS84 for Sources With Unknown CRS” enabled (the default), assigns WGS84 to the imported layer — a label-only repair that never moves coordinates. Genuine conflicts between two DEFINED coordinate systems still require setting an Output Coordinate System to reproject. Manual alternative: copy the .prj from any sibling MGCP cell next to the orphan shapefile.</w:t>
      </w:r>
    </w:p>
    <w:p>
      <w:pPr>
        <w:pStyle w:val="Heading2"/>
        <w:spacing w:after="100" w:before="280"/>
      </w:pPr>
      <w:r>
        <w:t>2.6  Step 0b - Data Intelligence Scan and One-Folder Data Root</w:t>
      </w:r>
    </w:p>
    <w:p>
      <w:pPr>
        <w:spacing w:after="120"/>
      </w:pPr>
      <w:r>
        <w:t>Step 0b is the recommended first data step. Instead of browsing to each dataset one by one, place everything under a single parent folder with descriptive subfolder names - for example: MyProject_Data containing MGCP, Soil, DEM, Contours, Vegetation, Hydro, Vehicle, and Extent folders.</w:t>
      </w:r>
    </w:p>
    <w:p>
      <w:pPr>
        <w:spacing w:after="120"/>
      </w:pPr>
      <w:r>
        <w:rPr>
          <w:rFonts w:ascii="Arial" w:cs="Arial" w:eastAsia="Arial" w:hAnsi="Arial"/>
          <w:b/>
          <w:sz w:val="22"/>
          <w:szCs w:val="22"/>
        </w:rPr>
        <w:t xml:space="preserve">How detection works.  </w:t>
      </w:r>
      <w:r>
        <w:rPr>
          <w:rFonts w:ascii="Arial" w:cs="Arial" w:eastAsia="Arial" w:hAnsi="Arial"/>
          <w:sz w:val="22"/>
          <w:szCs w:val="22"/>
        </w:rPr>
        <w:t>Subfolder names are matched first (MGCP, Soil, DEM/Elevation, Contours, Veg/Landcover, Hydro/Water, Vehicle, Extent/AOI — in English). Folders with unrecognised names are classified by their contents: shapefile trees with FACC-coded names (AP030, BH080…) count as MGCP; a CSV with vci_1/vci_50 columns is the vehicle file; SLC cmp tables, SSURGO tabular text, an HWSD .mdb, or SoilGrids property rasters identify the soil source type.</w:t>
      </w:r>
    </w:p>
    <w:p>
      <w:pPr>
        <w:spacing w:after="120"/>
      </w:pPr>
      <w:r>
        <w:t>When there are duplicates, Step 0b records every location and the classification basis. It does not silently choose a source. Review the JSON and HTML report, then confirm the input path manually in Step 1.</w:t>
      </w:r>
    </w:p>
    <w:p>
      <w:pPr>
        <w:pStyle w:val="Heading2"/>
      </w:pPr>
      <w:r>
        <w:t>Step 0b outputs</w:t>
      </w:r>
    </w:p>
    <w:p>
      <w:r>
        <w:t>The scan writes ccm_data_catalog.json, CCM_Data_Intelligence_Report.html, and CCM_Data_Intelligence_Report.txt to the selected project folder. It also adds data_root and data_catalog_json to ccm_project.json while preserving unrelated keys.</w:t>
      </w:r>
    </w:p>
    <w:p>
      <w:r>
        <w:t>The catalog is factual: it records observed metadata, duplicate locations, limitations, missing roles, and CRS guidance. Quality, Fitness, Confidence, Readiness, and automatic source selection are not calculated in this release.</w:t>
      </w:r>
    </w:p>
    <w:p>
      <w:pPr>
        <w:pStyle w:val="Heading3"/>
      </w:pPr>
      <w:r>
        <w:t>Running Step 0b outside ArcGIS Pro</w:t>
      </w:r>
    </w:p>
    <w:p>
      <w:r>
        <w:t>CCM_anaconda.bat creates the dedicated ccm_tool environment and activates it in the current Anaconda Prompt automatically (no separate conda activate step needed). RUN_DATA_SCAN.bat provides a logged command-line scan, and CCM_Data_Scanner.bat launches the safe standalone GUI. ArcPy is optional for these modes; GDAL/OGR is optional for richer container enumeration.</w:t>
      </w:r>
    </w:p>
    <w:p>
      <w:pPr>
        <w:pStyle w:val="Heading1"/>
        <w:pBdr>
          <w:bottom w:val="single" w:color="2E75B6" w:sz="6" w:space="4"/>
        </w:pBdr>
        <w:spacing w:after="120" w:before="360"/>
      </w:pPr>
      <w:r>
        <w:rPr>
          <w:rFonts w:ascii="Arial" w:cs="Arial" w:eastAsia="Arial" w:hAnsi="Arial"/>
          <w:b/>
          <w:bCs/>
          <w:color w:val="1F3864"/>
          <w:sz w:val="32"/>
          <w:szCs w:val="32"/>
        </w:rPr>
        <w:t>3.  System Requirements</w:t>
      </w:r>
    </w:p>
    <w:p>
      <w:pPr>
        <w:pStyle w:val="Heading2"/>
        <w:spacing w:after="100" w:before="280"/>
      </w:pPr>
      <w:r>
        <w:rPr>
          <w:rFonts w:ascii="Arial" w:cs="Arial" w:eastAsia="Arial" w:hAnsi="Arial"/>
          <w:b/>
          <w:bCs/>
          <w:color w:val="2E75B6"/>
          <w:sz w:val="28"/>
          <w:szCs w:val="28"/>
        </w:rPr>
        <w:t>3.1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Component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Minimum Version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Recommended</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ArcGIS Pro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3.x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3.5 or newer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3.5+ enables DistanceAccumulation (up to 50× faster isochrone computation)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Spatial Analyst Extension</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Any</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Any</w:t>
            </w:r>
          </w:p>
        </w:tc>
        <w:tc>
          <w:tcPr>
            <w:tcW w:type="dxa" w:w="3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Required for raster operations, isochrone, and SoilGrids processing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Python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3.9+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Bundled with ArcGIS Pro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Do not use a separate Python installation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numpy</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1.20+</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Bundled with ArcGIS Pro</w:t>
            </w:r>
          </w:p>
        </w:tc>
        <w:tc>
          <w:tcPr>
            <w:tcW w:type="dxa" w:w="3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Required for all raster array operations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pandas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Bundled with ArcGIS Pro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Required for vehicle CSV loading and soil preprocessing</w:t>
            </w:r>
          </w:p>
        </w:tc>
      </w:tr>
    </w:tbl>
    <w:p>
      <w:pPr>
        <w:spacing w:after="80" w:before="80"/>
      </w:pPr>
      <w:r/>
    </w:p>
    <w:p>
      <w:pPr>
        <w:pStyle w:val="Heading2"/>
        <w:spacing w:after="100" w:before="280"/>
      </w:pPr>
      <w:r>
        <w:rPr>
          <w:rFonts w:ascii="Arial" w:cs="Arial" w:eastAsia="Arial" w:hAnsi="Arial"/>
          <w:b/>
          <w:bCs/>
          <w:color w:val="2E75B6"/>
          <w:sz w:val="28"/>
          <w:szCs w:val="28"/>
        </w:rPr>
        <w:t>3.2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Component</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Minimum</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Recommended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RAM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8 GB</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16 GB or more (large AOIs with SoilGrids require significant memory)</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CPU</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4-core</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8-core or more (multiprocessing not currently enabled for arcpy calls)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Disk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10 GB free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50 GB free (raster processing and intermediate GDB files accumulate)</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GPU</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Not required</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Not used</w:t>
            </w:r>
          </w:p>
        </w:tc>
      </w:tr>
    </w:tbl>
    <w:p>
      <w:pPr>
        <w:spacing w:after="80" w:before="80"/>
      </w:pPr>
      <w:r/>
    </w:p>
    <w:p>
      <w:pPr>
        <w:pStyle w:val="Heading2"/>
        <w:spacing w:after="100" w:before="280"/>
      </w:pPr>
      <w:r>
        <w:rPr>
          <w:rFonts w:ascii="Arial" w:cs="Arial" w:eastAsia="Arial" w:hAnsi="Arial"/>
          <w:b/>
          <w:bCs/>
          <w:color w:val="2E75B6"/>
          <w:sz w:val="28"/>
          <w:szCs w:val="28"/>
        </w:rPr>
        <w:t>3.3  Data Requirements</w:t>
      </w:r>
    </w:p>
    <w:p>
      <w:pPr>
        <w:spacing w:after="60" w:before="60"/>
      </w:pPr>
      <w:r>
        <w:rPr>
          <w:rFonts w:ascii="Arial" w:cs="Arial" w:eastAsia="Arial" w:hAnsi="Arial"/>
          <w:sz w:val="22"/>
          <w:szCs w:val="22"/>
        </w:rPr>
        <w:t>The following data types are needed. At least one soil source and one vegetation source are required.</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100"/>
        <w:gridCol w:w="40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Data Type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Required?</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Format</w:t>
            </w:r>
          </w:p>
        </w:tc>
        <w:tc>
          <w:tcPr>
            <w:tcW w:type="dxa" w:w="4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Analysis Extent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Yes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Polygon FC — Projected CRS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Defines the study area. Must NOT be in a Geographic CRS.</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DEM</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One of these two</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Raster (any ArcGIS-supported format)</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Used to derive slope regions. At least 10 m resolution recommended.</w:t>
            </w:r>
            <w:r>
              <w:rPr>
                <w:rFonts w:ascii="Arial" w:hAnsi="Arial"/>
                <w:sz w:val="20"/>
              </w:rPr>
              <w:t xml:space="preserve"> Should share the Analysis Extent's Projected CRS (v0.54.0 warns if not).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Slope Regions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One of these two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Polygon FC with slope-class field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Pre-classified slope polygons. Can substitute for DEM.</w:t>
            </w:r>
            <w:r>
              <w:rPr>
                <w:rFonts w:ascii="Arial" w:hAnsi="Arial"/>
                <w:sz w:val="20"/>
              </w:rPr>
              <w:t xml:space="preserve"> Should share the Analysis Extent's Projected CRS (v0.54.0 warns if not).</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 Data</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Yes (one source)</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See Section 5</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Six sources supported. See the Soil Data section for details.</w:t>
            </w:r>
            <w:r>
              <w:rPr>
                <w:rFonts w:ascii="Arial" w:hAnsi="Arial"/>
                <w:sz w:val="20"/>
              </w:rPr>
              <w:t xml:space="preserve"> Pre-processed/raw soil layers should share the Analysis Extent's Projected CRS (v0.54.0 warns if not).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Vegetation Data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Yes (one source)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Raster or folder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Seven sources supported (incl. DMTI land use). See the Vegetation Data Sources Reference.</w:t>
            </w:r>
            <w:r>
              <w:rPr>
                <w:rFonts w:ascii="Arial" w:hAnsi="Arial"/>
                <w:sz w:val="20"/>
              </w:rPr>
              <w:t xml:space="preserve"> Pre-processed vegetation FC should share the Analysis Extent's Projected CRS (v0.54.0 warns if not).</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Hydrology Layers</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No</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Polygon FC(s)</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Water bodies, rivers. Used for obstacle detection and F-factor computation.</w:t>
            </w:r>
            <w:r>
              <w:rPr>
                <w:rFonts w:ascii="Arial" w:hAnsi="Arial"/>
                <w:sz w:val="20"/>
              </w:rPr>
              <w:t xml:space="preserve"> Should share the Analysis Extent's Projected CRS (v0.54.0 warns if not).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 CSV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Yes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CSV file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Vehicles_Can.csv included. Custom vehicles can be added.</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Contour Lines</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No</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Polyline FC</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Improves slope break detection and veg height normalisation.</w:t>
            </w:r>
            <w:r>
              <w:rPr>
                <w:rFonts w:ascii="Arial" w:hAnsi="Arial"/>
                <w:sz w:val="20"/>
              </w:rPr>
              <w:t xml:space="preserve"> Should share the Analysis Extent's Projected CRS (v0.54.0 warns if not).</w:t>
            </w:r>
          </w:p>
        </w:tc>
      </w:tr>
    </w:tbl>
    <w:p>
      <w:r/>
    </w:p>
    <w:p>
      <w:pPr>
        <w:pStyle w:val="Heading2"/>
      </w:pPr>
      <w:r>
        <w:t>3.4  Coordinate Reference System (CRS) Requirements — Why UTM?</w:t>
      </w:r>
    </w:p>
    <w:p>
      <w:r>
        <w:rPr>
          <w:rFonts w:ascii="Arial" w:hAnsi="Arial"/>
          <w:sz w:val="22"/>
        </w:rPr>
        <w:t>Every spatial input to the CCM Tool — the Analysis Extent, DEM, Slope Regions, Soil, Vegetation, Hydrology, and the speed surfaces Steps 2-4 produce — must use a Projected Coordinate System (e.g. a UTM zone), not a Geographic Coordinate System (e.g. WGS84 / GCS_WGS_1984). This section explains why, in plain terms, for anyone new to GIS.</w:t>
      </w:r>
    </w:p>
    <w:p>
      <w:r>
        <w:rPr>
          <w:rFonts w:ascii="Arial" w:hAnsi="Arial"/>
          <w:sz w:val="22"/>
        </w:rPr>
        <w:t>Geographic vs. Projected.  A Geographic CRS stores every location as latitude/longitude in degrees. Degrees are not a fixed real-world distance: one degree of longitude spans about 111 km at the equator but shrinks toward the poles, and a square degree covers very different real ground area near the equator than near a pole. A Projected CRS instead flattens the Earth's curved surface onto a flat plane and stores coordinates in a linear unit — normally metres — that means the same real-world distance everywhere on the map.</w:t>
      </w:r>
    </w:p>
    <w:p>
      <w:r>
        <w:rPr>
          <w:rFonts w:ascii="Arial" w:hAnsi="Arial"/>
          <w:sz w:val="22"/>
        </w:rPr>
        <w:t>Why CCM needs it.  CCM's core geoprocessing — cost-distance / DistanceAccumulation for reachability and routing, slope derivation from a DEM, buffer and gap detection for obstacles, and every area or length statistic used to compute mobility factors — assumes its input coordinates are already in a linear unit. Run those tools on Geographic (degree-based) data and they do not raise an error; they silently compute distances and areas that are wrong, sometimes by a large and inconsistent factor across the map. That is more dangerous than an outright failure, which is why Step 1 refuses to run at all on a Geographic Analysis Extent (see Section 9.1).</w:t>
      </w:r>
    </w:p>
    <w:p>
      <w:r>
        <w:rPr>
          <w:rFonts w:ascii="Arial" w:hAnsi="Arial"/>
          <w:sz w:val="22"/>
        </w:rPr>
        <w:t>Which UTM zone — worked example.  UTM (Universal Transverse Mercator) divides the world into 60 six-degree-wide zones, each its own Projected CRS, and is the most common choice for CCM projects because ArcGIS Pro ships with a ready-made UTM zone for every location on Earth. To find the right zone, match your study area's longitude to a zone (Northern Hemisphere zones are named e.g. “WGS 1984 UTM Zone 36N”), or in ArcGIS Pro simply search the coordinate-system picker for “UTM” plus your approximate location. Example: a study area in Lebanon (roughly 35–36° E) uses WGS 1984 UTM Zone 36N (EPSG:32636); the zone boundary technically runs through the eastern Beqaa Valley, but using Zone 36N for the whole country is standard practice — the distortion at the zone edge is negligible for CCM's purposes, and keeping one consistent CRS across the whole study area matters far more than always being on the mathematically nearest zone.</w:t>
      </w:r>
    </w:p>
    <w:p>
      <w:r>
        <w:rPr>
          <w:rFonts w:ascii="Arial" w:hAnsi="Arial"/>
          <w:sz w:val="22"/>
        </w:rPr>
        <w:t>How to fix a Geographic layer, and why every layer should match.  If a layer is already in a Geographic CRS, reproject it: right-click the layer in ArcGIS Pro → Data → Export Features (or Analysis / Data Management → Project), and set the output coordinate system to your chosen UTM zone. Every layer you feed into CCM — not just the Analysis Extent — should end up in that same Projected CRS; mixing two different projected systems (e.g. one layer in UTM 36N and another in UTM 37N) will not trigger the “Geographic CRS” error but can still misalign layers or skew results. Setting the map's coordinate system to your target UTM zone before digitizing or importing anything means new data you create inherits it automatically — but anything you import that is already in a different CRS still needs an explicit Export Features / Project step; changing only the map's display CRS does not reproject existing data.</w:t>
      </w:r>
    </w:p>
    <w:p>
      <w:r>
        <w:rPr>
          <w:rFonts w:ascii="Arial" w:hAnsi="Arial"/>
          <w:sz w:val="22"/>
        </w:rPr>
        <w:t>Where each step now checks this (v0.54.0):</w:t>
      </w:r>
    </w:p>
    <w:p>
      <w:pPr>
        <w:pStyle w:val="ListParagraph"/>
        <w:numPr>
          <w:ilvl w:val="0"/>
          <w:numId w:val="2"/>
        </w:numPr>
      </w:pPr>
      <w:r>
        <w:rPr>
          <w:rFonts w:ascii="Arial" w:hAnsi="Arial"/>
          <w:sz w:val="22"/>
        </w:rPr>
        <w:t>Step 0 — Load MGCP Data: warns if Output Coordinate System is left blank or set to Geographic (MGCP source data is WGS84 by specification).</w:t>
      </w:r>
    </w:p>
    <w:p>
      <w:pPr>
        <w:pStyle w:val="ListParagraph"/>
        <w:numPr>
          <w:ilvl w:val="0"/>
          <w:numId w:val="2"/>
        </w:numPr>
      </w:pPr>
      <w:r>
        <w:rPr>
          <w:rFonts w:ascii="Arial" w:hAnsi="Arial"/>
          <w:sz w:val="22"/>
        </w:rPr>
        <w:t>Step 1 — Project Setup: Analysis Extent blocks (hard error) on a Geographic CRS; DEM, Slope Regions, Contours, Soil, Vegetation and Hydrology layers warn if Geographic or if they don't match the Analysis Extent.</w:t>
      </w:r>
    </w:p>
    <w:p>
      <w:pPr>
        <w:pStyle w:val="ListParagraph"/>
        <w:numPr>
          <w:ilvl w:val="0"/>
          <w:numId w:val="2"/>
        </w:numPr>
      </w:pPr>
      <w:r>
        <w:rPr>
          <w:rFonts w:ascii="Arial" w:hAnsi="Arial"/>
          <w:sz w:val="22"/>
        </w:rPr>
        <w:t>Step 2 — Generate Mobility Map: no new spatial data is entered here, so there is nothing new to check — it inherits Step 1's already-validated CRS.</w:t>
      </w:r>
    </w:p>
    <w:p>
      <w:pPr>
        <w:pStyle w:val="ListParagraph"/>
        <w:numPr>
          <w:ilvl w:val="0"/>
          <w:numId w:val="2"/>
        </w:numPr>
      </w:pPr>
      <w:r>
        <w:rPr>
          <w:rFonts w:ascii="Arial" w:hAnsi="Arial"/>
          <w:sz w:val="22"/>
        </w:rPr>
        <w:t>Step 3 — Advanced Analysis: Speed Surface FC and the Obstacle Detection Contour / Hydro layers warn if Geographic or mismatched.</w:t>
      </w:r>
    </w:p>
    <w:p>
      <w:pPr>
        <w:pStyle w:val="ListParagraph"/>
        <w:numPr>
          <w:ilvl w:val="0"/>
          <w:numId w:val="2"/>
        </w:numPr>
      </w:pPr>
      <w:r>
        <w:rPr>
          <w:rFonts w:ascii="Arial" w:hAnsi="Arial"/>
          <w:sz w:val="22"/>
        </w:rPr>
        <w:t>Step 4 — Compare Two Vehicles: warns if either input is Geographic, or if the two Speed Surfaces use different Projected CRSs.</w:t>
      </w:r>
    </w:p>
    <w:p>
      <w:r>
        <w:rPr>
          <w:rFonts w:ascii="Arial" w:hAnsi="Arial"/>
          <w:sz w:val="22"/>
        </w:rPr>
        <w:t>These are warnings, not hard errors (except the Analysis Extent in Step 1) — the tool will still run, but results may be wrong or misaligned if you ignore them. See Section 9.1 (Troubleshooting) for the exact wording of each message.</w:t>
      </w:r>
    </w:p>
    <w:p>
      <w:pPr>
        <w:pStyle w:val="Heading1"/>
        <w:pBdr>
          <w:bottom w:val="single" w:color="2E75B6" w:sz="6" w:space="4"/>
        </w:pBdr>
        <w:spacing w:after="120" w:before="360"/>
      </w:pPr>
      <w:r>
        <w:rPr>
          <w:rFonts w:ascii="Arial" w:cs="Arial" w:eastAsia="Arial" w:hAnsi="Arial"/>
          <w:b/>
          <w:bCs/>
          <w:color w:val="1F3864"/>
          <w:sz w:val="32"/>
          <w:szCs w:val="32"/>
        </w:rPr>
        <w:t>4.  Step 1 — Project Setup &amp; Pre-process</w:t>
      </w:r>
    </w:p>
    <w:p>
      <w:pPr>
        <w:spacing w:after="60" w:before="60"/>
      </w:pPr>
      <w:r>
        <w:rPr>
          <w:rFonts w:ascii="Arial" w:cs="Arial" w:eastAsia="Arial" w:hAnsi="Arial"/>
          <w:sz w:val="22"/>
          <w:szCs w:val="22"/>
        </w:rPr>
        <w:t>Step 1 is the data-entry step. You run it once per project area. It pre-processes raw soil and vegetation inputs into CCM-ready polygon layers and saves ccm_project.json so all downstream tools auto-populate.</w:t>
      </w:r>
    </w:p>
    <w:p>
      <w:pPr>
        <w:spacing w:after="80" w:before="80"/>
      </w:pPr>
      <w:r/>
    </w:p>
    <w:p>
      <w:pPr>
        <w:pStyle w:val="Heading2"/>
        <w:spacing w:after="100" w:before="280"/>
      </w:pPr>
      <w:r>
        <w:rPr>
          <w:rFonts w:ascii="Arial" w:cs="Arial" w:eastAsia="Arial" w:hAnsi="Arial"/>
          <w:b/>
          <w:bCs/>
          <w:color w:val="2E75B6"/>
          <w:sz w:val="28"/>
          <w:szCs w:val="28"/>
        </w:rPr>
        <w:t>4.1  Parameter Reference</w:t>
      </w:r>
    </w:p>
    <w:p>
      <w:pPr>
        <w:pStyle w:val="Heading3"/>
        <w:spacing w:after="80" w:before="200"/>
      </w:pPr>
      <w:r>
        <w:rPr>
          <w:rFonts w:ascii="Arial" w:cs="Arial" w:eastAsia="Arial" w:hAnsi="Arial"/>
          <w:b/>
          <w:bCs/>
          <w:color w:val="1F3864"/>
          <w:sz w:val="24"/>
          <w:szCs w:val="24"/>
        </w:rPr>
        <w:t>Core Parameters</w:t>
      </w:r>
    </w:p>
    <w:p>
      <w:r>
        <w:rPr>
          <w:rFonts w:ascii="Arial" w:hAnsi="Arial"/>
          <w:sz w:val="22"/>
        </w:rPr>
        <w:t>All feature-class and raster parameters below should share one Projected CRS (see Section 3.4). Analysis Extent is validated automatically (blocking error); the others show a non-blocking warning if they don't match it (v0.54.0).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Parameter</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Required?</w:t>
            </w:r>
          </w:p>
        </w:tc>
        <w:tc>
          <w:tcPr>
            <w:tcW w:type="dxa" w:w="5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Project Root Folder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Yes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The one folder shared by every step (Step 0, 0b, 1, 2, 3). Step 0 and Step 0b create 01_Input_Data\, 02_Scan_Index\, and ccm_project.json here as soon as a valid folder is set; 03_Project.gdb is created here too.</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Analysis Extent</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Yes</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 polygon feature class defining the study area. Must be in a Projected CRS (UTM, etc.). The tool will error if you supply a Geographic CRS.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DEM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One of DEM / Slope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Digital Elevation Model raster. Used to derive slope regions.</w:t>
            </w:r>
            <w:r>
              <w:rPr>
                <w:rFonts w:ascii="Arial" w:hAnsi="Arial"/>
                <w:sz w:val="20"/>
              </w:rPr>
              <w:t xml:space="preserve"> Should share the Analysis Extent's Projected CRS (v0.54.0 warns if not).</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Slope Regions FC</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One of DEM / Slope</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Pre-classified slope polygon layer. Bypasses DEM slope derivation.</w:t>
            </w:r>
            <w:r>
              <w:rPr>
                <w:rFonts w:ascii="Arial" w:hAnsi="Arial"/>
                <w:sz w:val="20"/>
              </w:rPr>
              <w:t xml:space="preserve"> Should share the Analysis Extent's Projected CRS (v0.54.0 warns if not).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Contour Lines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No</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Polyline FC of contour lines. Improves vegetation height normalisation and obstacle detection.</w:t>
            </w:r>
            <w:r>
              <w:rPr>
                <w:rFonts w:ascii="Arial" w:hAnsi="Arial"/>
                <w:sz w:val="20"/>
              </w:rPr>
              <w:t xml:space="preserve"> Should share the Analysis Extent's Projected CRS (v0.54.0 warns if not).</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Default Soil Moisture Condition</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Yes</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Sets the default for Step 2 and 3 analyses. Options: dry / moist / wet.</w:t>
            </w:r>
          </w:p>
        </w:tc>
      </w:tr>
    </w:tbl>
    <w:p>
      <w:pPr>
        <w:spacing w:after="80" w:before="80"/>
      </w:pPr>
      <w:r/>
    </w:p>
    <w:p>
      <w:pPr>
        <w:pStyle w:val="Heading3"/>
        <w:spacing w:after="80" w:before="200"/>
      </w:pPr>
      <w:r>
        <w:rPr>
          <w:rFonts w:ascii="Arial" w:cs="Arial" w:eastAsia="Arial" w:hAnsi="Arial"/>
          <w:b/>
          <w:bCs/>
          <w:color w:val="1F3864"/>
          <w:sz w:val="24"/>
          <w:szCs w:val="24"/>
        </w:rPr>
        <w:t>Soil Pre-processing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Parameter</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 Data Source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Select the source database or leave Auto-Detect. The tool examines file names and attributes to identify the source automatically.</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Raw Soil FC or HWSD Raster</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The main input geometry or raster to pre-process.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Component Table (.dbf)</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Required for DSS/SLC Canada sources.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 Layer Table (.dbf)</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Required for DSS/SLC Canada sources.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 Name Table (.dbf)</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Optional for DSS/SLC PMTEX fallback.</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SLC File Geodatabase (.gdb)</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Required for SLC Canada source.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SSURGO Tabular Folder or gSSURGO .gdb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Required for SSURGO / STATSGO2 US source.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HWSD2.mdb Access Database</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Required for HWSD Global source.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SoilGrids 2.0 Raster Folder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Folder containing SoilGrids GeoTIFFs (sand/silt/clay layers).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SoilGrids Depth Layer</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Select the depth to use: 0–5 cm, 5–15 cm, 15–30 cm, 30–60 cm, 60–100 cm, or Weighted 0–30 cm.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 Gap-Fill Strategy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USCS code used for polygons with no soil data. Smart (auto) selects the most common surrounding code. Or choose a specific USCS code.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Pre-processed Soil FC</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If you already have a CCM-ready soil FC (soilType field), skip pre-processing by entering it here.</w:t>
            </w:r>
          </w:p>
        </w:tc>
      </w:tr>
    </w:tbl>
    <w:p>
      <w:pPr>
        <w:spacing w:after="80" w:before="80"/>
      </w:pPr>
      <w:r/>
    </w:p>
    <w:p>
      <w:pPr>
        <w:pStyle w:val="Heading3"/>
        <w:spacing w:after="80" w:before="200"/>
      </w:pPr>
      <w:r>
        <w:rPr>
          <w:rFonts w:ascii="Arial" w:cs="Arial" w:eastAsia="Arial" w:hAnsi="Arial"/>
          <w:b/>
          <w:bCs/>
          <w:color w:val="1F3864"/>
          <w:sz w:val="24"/>
          <w:szCs w:val="24"/>
        </w:rPr>
        <w:t>Vegetation Pre-processing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Parameter</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Vegetation / Biophysical Raster File(s)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One or more raster files. Multiple files of the same type are mosaicked. Canada Biophysical role files (LAI, fCOVER, VH, GLAD height) are handled separately.</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Pre-processed Vegetation FC</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If you already have a CCM-ready vegetation FC, enter it here to skip pre-processing.</w:t>
            </w:r>
          </w:p>
        </w:tc>
      </w:tr>
    </w:tbl>
    <w:p>
      <w:pPr>
        <w:spacing w:after="80" w:before="80"/>
      </w:pPr>
      <w:r/>
    </w:p>
    <w:p>
      <w:pPr>
        <w:pStyle w:val="Heading2"/>
        <w:spacing w:after="100" w:before="280"/>
      </w:pPr>
      <w:r>
        <w:rPr>
          <w:rFonts w:ascii="Arial" w:cs="Arial" w:eastAsia="Arial" w:hAnsi="Arial"/>
          <w:b/>
          <w:bCs/>
          <w:color w:val="2E75B6"/>
          <w:sz w:val="28"/>
          <w:szCs w:val="28"/>
        </w:rPr>
        <w:t>4.2  Soil Data Sources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Source Name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Coverage</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Key Files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DSS (Canada)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Canada — Detailed Soil Survey v3</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 polygon shapefile (POLY_ID) + CMP table + layer table + name table (.dbf)</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SLC (Canada)</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Canada — Soil Landscapes of Canada v3.2</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File GDB containing LAT geometry, CMP, SLT, and SNT tables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SSURGO / STATSGO2 (US)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United States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MUPOLYGON shapefile (MUKEY) + tabular folder or gSSURGO .gdb</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HWSD v2 (Global)</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Global</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HWSD2 raster (.bil) + HWSD2.mdb Access database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SoilGrids 2.0 (Global)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Global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Folder of GeoTIFFs named sand_*cm_mean.tif, silt_*cm_mean.tif, clay_*cm_mean.tif</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MGCP / TDS / GGDM (Military)</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Worldwide</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Polygon FC with SMC or soil-class field from NGA topographic databases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Generic (Any FC)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Any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Polygon FC with sand/silt/clay % fields, a texture-class field, or a USCS code. Auto-discovery recognises common field-name aliases (e.g. PCT_SAND, ClayTotal, USDA_TEXTURE).</w:t>
            </w:r>
          </w:p>
        </w:tc>
      </w:tr>
    </w:tbl>
    <w:p>
      <w:pPr>
        <w:spacing w:after="80" w:before="80"/>
      </w:pPr>
      <w:r/>
    </w:p>
    <w:p>
      <w:pPr>
        <w:pStyle w:val="Heading2"/>
        <w:spacing w:after="100" w:before="280"/>
      </w:pPr>
      <w:r>
        <w:rPr>
          <w:rFonts w:ascii="Arial" w:cs="Arial" w:eastAsia="Arial" w:hAnsi="Arial"/>
          <w:b/>
          <w:bCs/>
          <w:color w:val="2E75B6"/>
          <w:sz w:val="28"/>
          <w:szCs w:val="28"/>
        </w:rPr>
        <w:t>4.3  Vegetation Data Sources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800"/>
        <w:gridCol w:w="4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Source Name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Resolution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Type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ESA WorldCover 10 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10 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Class-code raster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Recommended. 11 land-cover classes for 2020/2021.</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NLCD (US)</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30 m</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Class-code raster</w:t>
            </w:r>
          </w:p>
        </w:tc>
        <w:tc>
          <w:tcPr>
            <w:tcW w:type="dxa" w:w="4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16 classes. US coverage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CGLS-LC100 (Global)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100 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Class-code raster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Detailed forest sub-classes (111–126).</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NASA / GEDI Canopy Height</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10–30 m</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Continuous height raster (metres)</w:t>
            </w:r>
          </w:p>
        </w:tc>
        <w:tc>
          <w:tcPr>
            <w:tcW w:type="dxa" w:w="4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Float raster 0–65 m. Allometric equations derive stem diameter and spacing.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Canada Biophysical Parameters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Variable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Multi-raster folder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Folder with VH (canopy height), CC (closure), LAI rasters from NRCAN.</w:t>
            </w:r>
          </w:p>
        </w:tc>
      </w:tr>
      <w:tr>
        <w:tc>
          <w:tcPr>
            <w:tcW w:type="dxa" w:w="2200"/>
          </w:tcPr>
          <w:p>
            <w:r>
              <w:t>DMTI Land Use (Canada)</w:t>
            </w:r>
          </w:p>
        </w:tc>
        <w:tc>
          <w:tcPr>
            <w:tcW w:type="dxa" w:w="1000"/>
          </w:tcPr>
          <w:p>
            <w:r>
              <w:t>Vector</w:t>
            </w:r>
          </w:p>
        </w:tc>
        <w:tc>
          <w:tcPr>
            <w:tcW w:type="dxa" w:w="1800"/>
          </w:tcPr>
          <w:p>
            <w:r>
              <w:t>Land-use polygons (rasterise on land-use code field)</w:t>
            </w:r>
          </w:p>
        </w:tc>
        <w:tc>
          <w:tcPr>
            <w:tcW w:type="dxa" w:w="4360"/>
          </w:tcPr>
          <w:p>
            <w:r>
              <w:t>Canada. Auto-detected by name. Classes not in the lookup are mapped by the keyword land-cover classifier.</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Generic Land-Cover Raster</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Any</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Integer class raster</w:t>
            </w:r>
          </w:p>
        </w:tc>
        <w:tc>
          <w:tcPr>
            <w:tcW w:type="dxa" w:w="4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Falls back to safe CCM defaults for unmapped classes.</w:t>
            </w:r>
          </w:p>
        </w:tc>
      </w:tr>
    </w:tbl>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pPr>
              <w:spacing w:after="40" w:before="0"/>
            </w:pPr>
            <w:r>
              <w:rPr>
                <w:rFonts w:ascii="Arial" w:cs="Arial" w:eastAsia="Arial" w:hAnsi="Arial"/>
                <w:b/>
                <w:bCs/>
                <w:color w:val="B8860B"/>
                <w:sz w:val="22"/>
                <w:szCs w:val="22"/>
              </w:rPr>
              <w:t>Note: MODIS and NOAA VH Not Supported</w:t>
            </w:r>
          </w:p>
          <w:p>
            <w:pPr>
              <w:spacing w:after="0" w:before="0"/>
            </w:pPr>
            <w:r>
              <w:rPr>
                <w:rFonts w:ascii="Arial" w:cs="Arial" w:eastAsia="Arial" w:hAnsi="Arial"/>
                <w:sz w:val="22"/>
                <w:szCs w:val="22"/>
              </w:rPr>
              <w:t>MODIS (250 m – 1 km) and NOAA Vegetation Health (1 km) rasters are not supported. At 1 km resolution a single pixel can span an entire forested hillside, making it impossible to derive meaningful tree spacing or stem diameter values for vehicle passability. Use ESA WorldCover 10 m instead.</w:t>
            </w:r>
          </w:p>
        </w:tc>
      </w:tr>
    </w:tbl>
    <w:p>
      <w:pPr>
        <w:spacing w:after="80" w:before="80"/>
      </w:pPr>
      <w:r/>
    </w:p>
    <w:p>
      <w:pPr>
        <w:pStyle w:val="Heading2"/>
        <w:spacing w:after="100" w:before="280"/>
      </w:pPr>
      <w:r>
        <w:rPr>
          <w:rFonts w:ascii="Arial" w:cs="Arial" w:eastAsia="Arial" w:hAnsi="Arial"/>
          <w:b/>
          <w:bCs/>
          <w:color w:val="2E75B6"/>
          <w:sz w:val="28"/>
          <w:szCs w:val="28"/>
        </w:rPr>
        <w:t>4.4  Output: ccm_project.json</w:t>
      </w:r>
    </w:p>
    <w:p>
      <w:pPr>
        <w:spacing w:after="60" w:before="60"/>
      </w:pPr>
      <w:r>
        <w:rPr>
          <w:rFonts w:ascii="Arial" w:cs="Arial" w:eastAsia="Arial" w:hAnsi="Arial"/>
          <w:sz w:val="22"/>
          <w:szCs w:val="22"/>
        </w:rPr>
        <w:t>Step 1 writes a JSON configuration file (ccm_project.json) directly in the Project Root Folder. This file records every data path, moisture default, and result path so that Steps 2 and 3 auto-populate without re-entering data. The file is plain text and can be viewed in any text editor.</w:t>
      </w:r>
    </w:p>
    <w:p>
      <w:pPr>
        <w:spacing w:after="80" w:before="80"/>
      </w:pPr>
      <w:r/>
    </w:p>
    <w:p>
      <w:pPr>
        <w:spacing w:after="60" w:before="60"/>
      </w:pPr>
      <w:r>
        <w:rPr>
          <w:rFonts w:ascii="Arial" w:cs="Arial" w:eastAsia="Arial" w:hAnsi="Arial"/>
          <w:sz w:val="22"/>
          <w:szCs w:val="22"/>
        </w:rPr>
        <w:t>Key fields saved in ccm_project.json:</w:t>
      </w:r>
    </w:p>
    <w:p>
      <w:pPr>
        <w:pStyle w:val="ListParagraph"/>
        <w:numPr>
          <w:ilvl w:val="0"/>
          <w:numId w:val="2"/>
        </w:numPr>
        <w:spacing w:after="40" w:before="40"/>
      </w:pPr>
      <w:r>
        <w:rPr>
          <w:rFonts w:ascii="Arial" w:cs="Arial" w:eastAsia="Arial" w:hAnsi="Arial"/>
          <w:sz w:val="22"/>
          <w:szCs w:val="22"/>
        </w:rPr>
        <w:t>extent_fc, dem_path, slope_fc, contours_fc</w:t>
      </w:r>
    </w:p>
    <w:p>
      <w:pPr>
        <w:pStyle w:val="ListParagraph"/>
        <w:numPr>
          <w:ilvl w:val="0"/>
          <w:numId w:val="2"/>
        </w:numPr>
        <w:spacing w:after="40" w:before="40"/>
      </w:pPr>
      <w:r>
        <w:rPr>
          <w:rFonts w:ascii="Arial" w:cs="Arial" w:eastAsia="Arial" w:hAnsi="Arial"/>
          <w:sz w:val="22"/>
          <w:szCs w:val="22"/>
        </w:rPr>
        <w:t>soil_fc, veg_fc, hydro_fcs</w:t>
      </w:r>
    </w:p>
    <w:p>
      <w:pPr>
        <w:pStyle w:val="ListParagraph"/>
        <w:numPr>
          <w:ilvl w:val="0"/>
          <w:numId w:val="2"/>
        </w:numPr>
        <w:spacing w:after="40" w:before="40"/>
      </w:pPr>
      <w:r>
        <w:rPr>
          <w:rFonts w:ascii="Arial" w:cs="Arial" w:eastAsia="Arial" w:hAnsi="Arial"/>
          <w:sz w:val="22"/>
          <w:szCs w:val="22"/>
        </w:rPr>
        <w:t>vehicle_csv, moisture_default</w:t>
      </w:r>
    </w:p>
    <w:p>
      <w:pPr>
        <w:pStyle w:val="ListParagraph"/>
        <w:numPr>
          <w:ilvl w:val="0"/>
          <w:numId w:val="2"/>
        </w:numPr>
        <w:spacing w:after="40" w:before="40"/>
      </w:pPr>
      <w:r>
        <w:rPr>
          <w:rFonts w:ascii="Arial" w:cs="Arial" w:eastAsia="Arial" w:hAnsi="Arial"/>
          <w:sz w:val="22"/>
          <w:szCs w:val="22"/>
        </w:rPr>
        <w:t>project_folder, project_gdb</w:t>
      </w:r>
    </w:p>
    <w:p>
      <w:pPr>
        <w:pStyle w:val="ListParagraph"/>
        <w:numPr>
          <w:ilvl w:val="0"/>
          <w:numId w:val="2"/>
        </w:numPr>
        <w:spacing w:after="40" w:before="40"/>
      </w:pPr>
      <w:r>
        <w:rPr>
          <w:rFonts w:ascii="Arial" w:cs="Arial" w:eastAsia="Arial" w:hAnsi="Arial"/>
          <w:sz w:val="22"/>
          <w:szCs w:val="22"/>
        </w:rPr>
        <w:t>mobility_map_fc (written by Step 2)</w:t>
      </w:r>
    </w:p>
    <w:p>
      <w:pPr>
        <w:pStyle w:val="ListParagraph"/>
        <w:numPr>
          <w:ilvl w:val="0"/>
          <w:numId w:val="2"/>
        </w:numPr>
        <w:spacing w:after="40" w:before="40"/>
      </w:pPr>
      <w:r>
        <w:rPr>
          <w:rFonts w:ascii="Arial" w:cs="Arial" w:eastAsia="Arial" w:hAnsi="Arial"/>
          <w:sz w:val="22"/>
          <w:szCs w:val="22"/>
        </w:rPr>
        <w:t>ccm_version, created, last_updated</w:t>
      </w:r>
    </w:p>
    <w:p>
      <w:r/>
    </w:p>
    <w:p>
      <w:pPr>
        <w:pStyle w:val="Heading1"/>
        <w:pBdr>
          <w:bottom w:val="single" w:color="2E75B6" w:sz="6" w:space="4"/>
        </w:pBdr>
        <w:spacing w:after="120" w:before="360"/>
      </w:pPr>
      <w:r>
        <w:rPr>
          <w:rFonts w:ascii="Arial" w:cs="Arial" w:eastAsia="Arial" w:hAnsi="Arial"/>
          <w:b/>
          <w:bCs/>
          <w:color w:val="1F3864"/>
          <w:sz w:val="32"/>
          <w:szCs w:val="32"/>
        </w:rPr>
        <w:t>5.  Step 2 — Generate Mobility Map</w:t>
      </w:r>
    </w:p>
    <w:p>
      <w:pPr>
        <w:spacing w:after="60" w:before="60"/>
      </w:pPr>
      <w:r>
        <w:rPr>
          <w:rFonts w:ascii="Arial" w:cs="Arial" w:eastAsia="Arial" w:hAnsi="Arial"/>
          <w:sz w:val="22"/>
          <w:szCs w:val="22"/>
        </w:rPr>
        <w:t>Step 2 is the core mobility map generator. It reads the pre-processed soil and vegetation layers from Step 1, computes the five terrain factors, and produces a speed surface polygon feature class — one layer per vehicle per moisture condition. Step 2 offers two optional Weather parameters (Use Live Weather and Manual Rainfall Override) that adjust soil strength for rainfall before computing soil factors (see Section 7), and it loads its soil-strength (RCI) table from the calibrated soil_rci.csv file (see Section 7.3). Since v0.49, Step 2 also outputs an area-weighted Speed Made Good (SMG) summary in the Geoprocessing Messages pane, and provides three additional optional parameters under Weather and Advanced: Use Spatial Soil Moisture (per-polygon soil conditions from a 3×3 Open-Meteo grid), Enable Stochastic P(GO) (Monte Carlo reliability probability per polygon), and Monte Carlo Trials. See Section 7.4–7.7 for details.</w:t>
      </w:r>
    </w:p>
    <w:p>
      <w:pPr>
        <w:spacing w:after="80" w:before="80"/>
      </w:pPr>
      <w:r/>
    </w:p>
    <w:p>
      <w:r>
        <w:rPr>
          <w:rFonts w:ascii="Arial" w:hAnsi="Arial"/>
          <w:sz w:val="22"/>
        </w:rPr>
        <w:t>Step 2 does not take any new spatial-data parameters — it reads the already-validated, Projected-CRS layers recorded in ccm_project.json by Step 1, so no further CRS setup is needed here.</w:t>
      </w:r>
    </w:p>
    <w:p>
      <w:pPr>
        <w:pStyle w:val="Heading2"/>
        <w:spacing w:after="100" w:before="280"/>
      </w:pPr>
      <w:r>
        <w:rPr>
          <w:rFonts w:ascii="Arial" w:cs="Arial" w:eastAsia="Arial" w:hAnsi="Arial"/>
          <w:b/>
          <w:bCs/>
          <w:color w:val="2E75B6"/>
          <w:sz w:val="28"/>
          <w:szCs w:val="28"/>
        </w:rPr>
        <w:t>5.1  What Step 2 Produces</w:t>
      </w:r>
    </w:p>
    <w:p>
      <w:pPr>
        <w:spacing w:after="60" w:before="60"/>
      </w:pPr>
      <w:r>
        <w:rPr>
          <w:rFonts w:ascii="Arial" w:cs="Arial" w:eastAsia="Arial" w:hAnsi="Arial"/>
          <w:sz w:val="22"/>
          <w:szCs w:val="22"/>
        </w:rPr>
        <w:t>The output is a polygon feature class (stored in 03_Project.gdb) with the following key fields: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Field Name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Type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SpeedKMH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Predicted vehicle speed in km/h for this polygon under the selected moisture condition.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Mobility</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Text</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Mobility class label: GO / RESTRICTED / NO GO. Drives the included symbology. A polygon is NO GO at or below the GO Threshold speed (default 5 km/h) or when any factor is 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F1_slope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Slope factor (0.0–1.0). 0.0 = slope exceeds vehicle limit.</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F2_vegetation</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Double</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Vegetation traffic impact factor (0.0–1.0).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F3_veg_spacing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Vegetation spacing/stem factor (0.0–1.0).</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F4_soil_dry</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Double</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 factor under dry conditions (0.0–1.0).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F5_soil_wet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 factor under wet/moist conditions (0.0–1.0).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F_hydro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Water-crossing factor: 0.0 inside open water (No Go), 1.0 elsewhere.</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soilType</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Text</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USCS soil classification code for this polygon (e.g., SM, CL, GW).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vegetationTrafficImpact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Vegetation Traffic Impact value from the vegetation layer (0.0–1.0).</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P_GO</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Double</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Stochastic probability of GO (0.0–1.0). Present only when Enable Stochastic P(GO) is checked. Derived from 200 Monte Carlo trials perturbing RCI (CV=0.15) and slope (CV=0.10). See Section 7.6.</w:t>
            </w:r>
          </w:p>
        </w:tc>
      </w:tr>
    </w:tbl>
    <w:p>
      <w:pPr>
        <w:spacing w:after="80" w:before="80"/>
      </w:pPr>
      <w:r/>
    </w:p>
    <w:p>
      <w:pPr>
        <w:pStyle w:val="Heading2"/>
        <w:spacing w:after="100" w:before="280"/>
      </w:pPr>
      <w:r>
        <w:rPr>
          <w:rFonts w:ascii="Arial" w:cs="Arial" w:eastAsia="Arial" w:hAnsi="Arial"/>
          <w:b/>
          <w:bCs/>
          <w:color w:val="2E75B6"/>
          <w:sz w:val="28"/>
          <w:szCs w:val="28"/>
        </w:rPr>
        <w:t>5.2  Supported Vehicles</w:t>
      </w:r>
    </w:p>
    <w:p>
      <w:pPr>
        <w:spacing w:after="60" w:before="60"/>
      </w:pPr>
      <w:r>
        <w:rPr>
          <w:rFonts w:ascii="Arial" w:cs="Arial" w:eastAsia="Arial" w:hAnsi="Arial"/>
          <w:sz w:val="22"/>
          <w:szCs w:val="22"/>
        </w:rPr>
        <w:t>The included Vehicles_Can.csv defines 64 platforms spanning the combat- and mobility-relevant fleets of Canada (16), the United States (26) and Russia (22) — main battle tanks, IFVs/APCs, reconnaissance, self-propelled artillery, engineer/bridging and key wheeled logistics vehicles. Three columns record provenance: nation, source (“NRMM published” for the original reference rows, “derived” for the rest) and a note. Because Vehicle Cone Index (VCI) and Mean Maximum Pressure (MMP) are not public for most modern platforms, the derived values are estimated from vehicle class, weight and running-gear type, anchored to the published rows and kept internally consistent with the model (VCI_1 = 0.43 × VCI_50; MMP = VCI_50 / 0.56 tracked or / 0.18 wheeled). Treat derived rows as planning estimates and replace VCI/MMP with measured NRMM values from technical manuals when available. The table below lists the original reference vehicles; open the CSV for the full fleet.</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500"/>
        <w:gridCol w:w="1700"/>
        <w:gridCol w:w="1000"/>
        <w:gridCol w:w="19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Vehicle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Type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Max Road Speed (km/h)</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Max Off-Road Grade (%)</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Width (m)</w:t>
            </w:r>
          </w:p>
        </w:tc>
        <w:tc>
          <w:tcPr>
            <w:tcW w:type="dxa" w:w="1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VCI-1 / VCI-50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M1 Abrams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71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54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3.65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25 / 58</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M60A1</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Tracked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48</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45</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3.65</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20 / 48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M109 Paladin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56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45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3.10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25 / 57</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M113 APC</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Tracked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48</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45</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2.96</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17 / 40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M35A2 (2.5-ton truck)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Wheeled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56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30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2.43</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26 / 59</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M151 (Jeep)</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Wheeled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50</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28</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1.69</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19 / 44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T-62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50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45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3.37</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21 / 49</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T-72</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Tracked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60</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45</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3.38</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25 / 60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M2 / M3 Bradley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66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60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6.20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15 / 35</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M48 / M60 AVLB</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Tracked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48 / 51</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22</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4.30</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26 / 60 / 22 / 51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MLRS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64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45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2.97</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15 / 35</w:t>
            </w:r>
          </w:p>
        </w:tc>
      </w:tr>
    </w:tbl>
    <w:p>
      <w:pPr>
        <w:spacing w:after="80" w:before="80"/>
      </w:pPr>
      <w:r/>
    </w:p>
    <w:p>
      <w:pPr>
        <w:pStyle w:val="Heading2"/>
        <w:spacing w:after="100" w:before="280"/>
      </w:pPr>
      <w:r>
        <w:rPr>
          <w:rFonts w:ascii="Arial" w:cs="Arial" w:eastAsia="Arial" w:hAnsi="Arial"/>
          <w:b/>
          <w:bCs/>
          <w:color w:val="2E75B6"/>
          <w:sz w:val="28"/>
          <w:szCs w:val="28"/>
        </w:rPr>
        <w:t>5.3  Vehicle CSV Format</w:t>
      </w:r>
    </w:p>
    <w:p>
      <w:pPr>
        <w:spacing w:after="60" w:before="60"/>
      </w:pPr>
      <w:r>
        <w:rPr>
          <w:rFonts w:ascii="Arial" w:cs="Arial" w:eastAsia="Arial" w:hAnsi="Arial"/>
          <w:sz w:val="22"/>
          <w:szCs w:val="22"/>
        </w:rPr>
        <w:t>To add custom vehicles, edit or replace Vehicles_Can.csv. The CSV must have a header row with the following columns: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5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Column</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Type</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name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Text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 identifier (no spaces recommended).</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max_road_spd_kph</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Maximum speed on paved road in km/h.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max_on_road_grad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Maximum road gradient the vehicle can climb (%).</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max_off_road_grad</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Maximum off-road gradient the vehicle can climb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vehicle_width_m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 width in metres. Used for gap and obstacle detection.</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max_override_diameter_m</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Maximum tree stem diameter the vehicle can override (crush/push) in metres.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vci_1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 Cone Index required for a single pass (NATO standard).</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vci_50</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Vehicle Cone Index required for 50 passes (sustained operations).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min_turning_radius_m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Minimum turning radius in metres.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locomotion_type</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0 or 1</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0 = wheeled vehicle; 1 = tracked vehicle.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hAnsi="Arial"/>
                <w:sz w:val="20"/>
                <w:szCs w:val="20"/>
              </w:rPr>
              <w:t>mmp_kpa</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hAnsi="Arial"/>
                <w:sz w:val="20"/>
                <w:szCs w:val="20"/>
              </w:rPr>
              <w:t>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hAnsi="Arial"/>
                <w:sz w:val="20"/>
                <w:szCs w:val="20"/>
              </w:rPr>
              <w:t>Mean Maximum Pressure in kPa (v0.49). Formula-derived from VCI_50 using Shoop 2000 / ERDC coefficients. Lower MMP = better on soft ground. Replace with measured values from vehicle technical manuals when available. See Section 7.7.</w:t>
            </w:r>
          </w:p>
        </w:tc>
      </w:tr>
    </w:tbl>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pPr>
              <w:spacing w:after="40" w:before="0"/>
            </w:pPr>
            <w:r>
              <w:rPr>
                <w:rFonts w:ascii="Arial" w:cs="Arial" w:eastAsia="Arial" w:hAnsi="Arial"/>
                <w:b/>
                <w:bCs/>
                <w:color w:val="B8860B"/>
                <w:sz w:val="22"/>
                <w:szCs w:val="22"/>
              </w:rPr>
              <w:t>Important</w:t>
            </w:r>
          </w:p>
          <w:p>
            <w:pPr>
              <w:spacing w:after="0" w:before="0"/>
            </w:pPr>
            <w:r>
              <w:rPr>
                <w:rFonts w:ascii="Arial" w:cs="Arial" w:eastAsia="Arial" w:hAnsi="Arial"/>
                <w:sz w:val="22"/>
                <w:szCs w:val="22"/>
              </w:rPr>
              <w:t>If a column value is not applicable or unknown, leave the cell blank. Do not enter 0 unless the true value is zero, as 0 may be interpreted as an impassability condition in some factors.</w:t>
            </w:r>
          </w:p>
        </w:tc>
      </w:tr>
    </w:tbl>
    <w:p>
      <w:r/>
    </w:p>
    <w:p>
      <w:pPr>
        <w:pStyle w:val="Heading1"/>
        <w:pBdr>
          <w:bottom w:val="single" w:color="2E75B6" w:sz="6" w:space="4"/>
        </w:pBdr>
        <w:spacing w:after="120" w:before="360"/>
      </w:pPr>
      <w:r>
        <w:rPr>
          <w:rFonts w:ascii="Arial" w:cs="Arial" w:eastAsia="Arial" w:hAnsi="Arial"/>
          <w:b/>
          <w:bCs/>
          <w:color w:val="1F3864"/>
          <w:sz w:val="32"/>
          <w:szCs w:val="32"/>
        </w:rPr>
        <w:t>6.  Step 3 — Advanced Analysis</w:t>
      </w:r>
    </w:p>
    <w:p>
      <w:pPr>
        <w:spacing w:after="60" w:before="60"/>
      </w:pPr>
      <w:r>
        <w:rPr>
          <w:rFonts w:ascii="Arial" w:cs="Arial" w:eastAsia="Arial" w:hAnsi="Arial"/>
          <w:sz w:val="22"/>
          <w:szCs w:val="22"/>
        </w:rPr>
        <w:t>Step 3 provides five optional post-processing analyses that build on the speed surface generated in Step 2. All five can be enabled in a single run or run individually. The project folder auto-fills all required paths from ccm_project.json.</w:t>
      </w:r>
    </w:p>
    <w:p>
      <w:pPr>
        <w:spacing w:after="80" w:before="80"/>
      </w:pPr>
      <w:r/>
    </w:p>
    <w:p>
      <w:pPr>
        <w:pStyle w:val="Heading2"/>
        <w:spacing w:after="100" w:before="280"/>
      </w:pPr>
      <w:r>
        <w:rPr>
          <w:rFonts w:ascii="Arial" w:cs="Arial" w:eastAsia="Arial" w:hAnsi="Arial"/>
          <w:b/>
          <w:bCs/>
          <w:color w:val="2E75B6"/>
          <w:sz w:val="28"/>
          <w:szCs w:val="28"/>
        </w:rPr>
        <w:t>6.1  Analysis A — Reason Map</w:t>
      </w:r>
    </w:p>
    <w:p>
      <w:pPr>
        <w:spacing w:after="60" w:before="60"/>
      </w:pPr>
      <w:r>
        <w:rPr>
          <w:rFonts w:ascii="Arial" w:cs="Arial" w:eastAsia="Arial" w:hAnsi="Arial"/>
          <w:sz w:val="22"/>
          <w:szCs w:val="22"/>
        </w:rPr>
        <w:t>The Reason Map answers the question: “Why is this polygon red (No Go)?” It inspects the F1–F5 factor values for every polygon and writes a plain-English explanation to a new field called NO_GO_REASON.</w:t>
      </w:r>
    </w:p>
    <w:p>
      <w:pPr>
        <w:spacing w:after="80" w:before="80"/>
      </w:pPr>
      <w:r/>
    </w:p>
    <w:p>
      <w:pPr>
        <w:pStyle w:val="Heading3"/>
        <w:spacing w:after="80" w:before="200"/>
      </w:pPr>
      <w:r>
        <w:rPr>
          <w:rFonts w:ascii="Arial" w:cs="Arial" w:eastAsia="Arial" w:hAnsi="Arial"/>
          <w:b/>
          <w:bCs/>
          <w:color w:val="1F3864"/>
          <w:sz w:val="24"/>
          <w:szCs w:val="24"/>
        </w:rPr>
        <w:t>Output Fields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Field</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Type</w:t>
            </w:r>
          </w:p>
        </w:tc>
        <w:tc>
          <w:tcPr>
            <w:tcW w:type="dxa" w:w="5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NO_GO_REASON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Text (250)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Human-readable explanation. Examples: “Steep slope (F1=0)”, “Dense vegetation (F2=0, F3=0)”, “Multiple restrictions”.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RESTRICT_CODE</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Integer</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Numeric code for quick symbology. 0=GO, 1=Restricted, 2=No Go–Slope, 3=No Go–Soil, 4=No Go–Water, 5=No Go–Vegetation, 6=No Go–Multiple, 9=Missing Data.</w:t>
            </w:r>
          </w:p>
        </w:tc>
      </w:tr>
    </w:tbl>
    <w:p>
      <w:pPr>
        <w:spacing w:after="80" w:before="80"/>
      </w:pPr>
      <w:r/>
    </w:p>
    <w:p>
      <w:pPr>
        <w:spacing w:after="60" w:before="60"/>
      </w:pPr>
      <w:r>
        <w:rPr>
          <w:rFonts w:ascii="Arial" w:cs="Arial" w:eastAsia="Arial" w:hAnsi="Arial"/>
          <w:sz w:val="22"/>
          <w:szCs w:val="22"/>
        </w:rPr>
        <w:t>After running, click any polygon in ArcGIS Pro and read NO_GO_REASON in the pop-up / Identify Results panel. This is particularly useful for briefings and obstacle reports.</w:t>
      </w:r>
    </w:p>
    <w:p>
      <w:pPr>
        <w:spacing w:after="80" w:before="80"/>
      </w:pPr>
      <w:r/>
    </w:p>
    <w:p>
      <w:pPr>
        <w:pStyle w:val="Heading2"/>
        <w:spacing w:after="100" w:before="280"/>
      </w:pPr>
      <w:r>
        <w:rPr>
          <w:rFonts w:ascii="Arial" w:cs="Arial" w:eastAsia="Arial" w:hAnsi="Arial"/>
          <w:b/>
          <w:bCs/>
          <w:color w:val="2E75B6"/>
          <w:sz w:val="28"/>
          <w:szCs w:val="28"/>
        </w:rPr>
        <w:t>6.2  Analysis B — Reachability Map (Isochrone)</w:t>
      </w:r>
    </w:p>
    <w:p>
      <w:pPr>
        <w:spacing w:after="60" w:before="60"/>
      </w:pPr>
      <w:r>
        <w:rPr>
          <w:rFonts w:ascii="Arial" w:cs="Arial" w:eastAsia="Arial" w:hAnsi="Arial"/>
          <w:sz w:val="22"/>
          <w:szCs w:val="22"/>
        </w:rPr>
        <w:t>The Reachability Map draws rings showing how far a vehicle can travel in a given time from a start point, accounting for terrain speed. It is also called an Isochrone map.</w:t>
      </w:r>
    </w:p>
    <w:p>
      <w:pPr>
        <w:spacing w:after="80" w:before="80"/>
      </w:pPr>
      <w:r/>
    </w:p>
    <w:p>
      <w:pPr>
        <w:spacing w:after="60" w:before="60"/>
      </w:pPr>
      <w:r>
        <w:rPr>
          <w:rFonts w:ascii="Arial" w:cs="Arial" w:eastAsia="Arial" w:hAnsi="Arial"/>
          <w:sz w:val="22"/>
          <w:szCs w:val="22"/>
        </w:rPr>
        <w:t>The tool uses DistanceAccumulation (ArcGIS Pro 3.5+) for maximum performance, with automatic fallback to CostDistance on older installations.</w:t>
      </w:r>
    </w:p>
    <w:p>
      <w:pPr>
        <w:spacing w:after="80" w:before="80"/>
      </w:pPr>
      <w:r/>
    </w:p>
    <w:p>
      <w:pPr>
        <w:pStyle w:val="Heading3"/>
        <w:spacing w:after="80" w:before="200"/>
      </w:pPr>
      <w:r>
        <w:rPr>
          <w:rFonts w:ascii="Arial" w:cs="Arial" w:eastAsia="Arial" w:hAnsi="Arial"/>
          <w:b/>
          <w:bCs/>
          <w:color w:val="1F3864"/>
          <w:sz w:val="24"/>
          <w:szCs w:val="24"/>
        </w:rPr>
        <w:t>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Parameter</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Start Point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Enter in any supported coordinate format: MGRS, Decimal Degrees, DMS, DDM, or UTM. The tool converts automatically.</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Time Intervals (minutes)</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Comma-separated list of time thresholds (e.g., 15,30,60,120). A ring polygon is generated for each interval.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Cell Size (metres)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Raster cell size for the cost-distance computation. Smaller values are more precise but slower (default: 50 m).</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Speed Field</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The speed field in the speed surface FC (default: SpeedKMH).</w:t>
            </w:r>
          </w:p>
        </w:tc>
      </w:tr>
    </w:tbl>
    <w:p>
      <w:pPr>
        <w:spacing w:after="80" w:before="80"/>
      </w:pPr>
      <w:r/>
    </w:p>
    <w:p>
      <w:pPr>
        <w:pStyle w:val="Heading3"/>
        <w:spacing w:after="80" w:before="200"/>
      </w:pPr>
      <w:r>
        <w:rPr>
          <w:rFonts w:ascii="Arial" w:cs="Arial" w:eastAsia="Arial" w:hAnsi="Arial"/>
          <w:b/>
          <w:bCs/>
          <w:color w:val="1F3864"/>
          <w:sz w:val="24"/>
          <w:szCs w:val="24"/>
        </w:rPr>
        <w:t>Output</w:t>
      </w:r>
    </w:p>
    <w:p>
      <w:pPr>
        <w:spacing w:after="60" w:before="60"/>
      </w:pPr>
      <w:r>
        <w:rPr>
          <w:rFonts w:ascii="Arial" w:cs="Arial" w:eastAsia="Arial" w:hAnsi="Arial"/>
          <w:sz w:val="22"/>
          <w:szCs w:val="22"/>
        </w:rPr>
        <w:t>A polygon feature class with one ring per time interval, labelled with TIME_BAND, MAX_MIN (maximum minutes), and BAND_ORDER fields. Apply the included symbology to display rings in graduated colours.</w:t>
      </w:r>
    </w:p>
    <w:p>
      <w:pPr>
        <w:spacing w:after="80" w:before="80"/>
      </w:pPr>
      <w:r/>
    </w:p>
    <w:p>
      <w:pPr>
        <w:pStyle w:val="Heading2"/>
        <w:spacing w:after="100" w:before="280"/>
      </w:pPr>
      <w:r>
        <w:rPr>
          <w:rFonts w:ascii="Arial" w:cs="Arial" w:eastAsia="Arial" w:hAnsi="Arial"/>
          <w:b/>
          <w:bCs/>
          <w:color w:val="2E75B6"/>
          <w:sz w:val="28"/>
          <w:szCs w:val="28"/>
        </w:rPr>
        <w:t>6.3  Analysis C — Vehicle Comparison</w:t>
      </w:r>
    </w:p>
    <w:p>
      <w:pPr>
        <w:spacing w:after="60" w:before="60"/>
      </w:pPr>
      <w:r>
        <w:rPr>
          <w:rFonts w:ascii="Arial" w:cs="Arial" w:eastAsia="Arial" w:hAnsi="Arial"/>
          <w:sz w:val="22"/>
          <w:szCs w:val="22"/>
        </w:rPr>
        <w:t>The Vehicle Comparison analysis overlays the speed surfaces of two vehicles and classifies each polygon into one of four categories: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Category</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Meaning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BOTH_GO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Both vehicles can cross this polygon at usable speed.</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A_ONLY</w:t>
            </w:r>
          </w:p>
        </w:tc>
        <w:tc>
          <w:tcPr>
            <w:tcW w:type="dxa" w:w="7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Vehicle A can cross; Vehicle B cannot. Polygon is an advantage zone for Vehicle 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B_ONLY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 B can cross; Vehicle A cannot. Polygon is an advantage zone for Vehicle B.</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NEITHER</w:t>
            </w:r>
          </w:p>
        </w:tc>
        <w:tc>
          <w:tcPr>
            <w:tcW w:type="dxa" w:w="7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Neither vehicle can cross. Absolute No Go for both.</w:t>
            </w:r>
          </w:p>
        </w:tc>
      </w:tr>
    </w:tbl>
    <w:p>
      <w:pPr>
        <w:spacing w:after="80" w:before="80"/>
      </w:pPr>
      <w:r/>
    </w:p>
    <w:p>
      <w:r>
        <w:rPr>
          <w:rFonts w:ascii="Arial" w:hAnsi="Arial"/>
          <w:sz w:val="22"/>
        </w:rPr>
        <w:t>This analysis is also available as a standalone tool — Step 4. Compare Two Vehicles — which takes two Speed Surface feature classes directly (useful when comparing outputs from different project folders). Both inputs must use the same Projected CRS; the tool warns if they don't match or if either is Geographic (v0.54.0).</w:t>
      </w:r>
    </w:p>
    <w:p>
      <w:pPr>
        <w:pStyle w:val="Heading3"/>
        <w:spacing w:after="80" w:before="200"/>
      </w:pPr>
      <w:r>
        <w:rPr>
          <w:rFonts w:ascii="Arial" w:cs="Arial" w:eastAsia="Arial" w:hAnsi="Arial"/>
          <w:b/>
          <w:bCs/>
          <w:color w:val="1F3864"/>
          <w:sz w:val="24"/>
          <w:szCs w:val="24"/>
        </w:rPr>
        <w:t>Output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Field</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VEHICLE_A / VEHICLE_B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Names of the two vehicles being compared.</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SPEED_A / SPEED_B</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Speed (km/h) of each vehicle at this polygon.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COMPARE_RESULT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One of: BOTH_GO / A_ONLY / B_ONLY / NEITHER / DATA_GAP.</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ADVANTAGE</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Speed difference A − B in km/h. Positive = A is faster; negative = B is faster.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MOBILITY_A / MOBILITY_B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Mobility label (GO / SLOW GO / NO GO) for each vehicle.</w:t>
            </w:r>
          </w:p>
        </w:tc>
      </w:tr>
    </w:tbl>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40" w:before="0"/>
            </w:pPr>
            <w:r>
              <w:rPr>
                <w:rFonts w:ascii="Arial" w:cs="Arial" w:eastAsia="Arial" w:hAnsi="Arial"/>
                <w:b/>
                <w:bCs/>
                <w:color w:val="2E7D32"/>
                <w:sz w:val="22"/>
                <w:szCs w:val="22"/>
              </w:rPr>
              <w:t>Tip</w:t>
            </w:r>
          </w:p>
          <w:p>
            <w:pPr>
              <w:spacing w:after="0" w:before="0"/>
            </w:pPr>
            <w:r>
              <w:rPr>
                <w:rFonts w:ascii="Arial" w:cs="Arial" w:eastAsia="Arial" w:hAnsi="Arial"/>
                <w:sz w:val="22"/>
                <w:szCs w:val="22"/>
              </w:rPr>
              <w:t>Run Step 2 once per vehicle before running Vehicle Comparison. The comparison dropdown in Step 3 is populated from mobility_map_fc entries recorded in ccm_project.json.</w:t>
            </w:r>
          </w:p>
        </w:tc>
      </w:tr>
    </w:tbl>
    <w:p>
      <w:pPr>
        <w:spacing w:after="80" w:before="80"/>
      </w:pPr>
      <w:r/>
    </w:p>
    <w:p>
      <w:pPr>
        <w:pStyle w:val="Heading2"/>
        <w:spacing w:after="100" w:before="280"/>
      </w:pPr>
      <w:r>
        <w:rPr>
          <w:rFonts w:ascii="Arial" w:cs="Arial" w:eastAsia="Arial" w:hAnsi="Arial"/>
          <w:b/>
          <w:bCs/>
          <w:color w:val="2E75B6"/>
          <w:sz w:val="28"/>
          <w:szCs w:val="28"/>
        </w:rPr>
        <w:t>6.4  Analysis D — Obstacle Detection</w:t>
      </w:r>
    </w:p>
    <w:p>
      <w:pPr>
        <w:spacing w:after="60" w:before="60"/>
      </w:pPr>
      <w:r>
        <w:rPr>
          <w:rFonts w:ascii="Arial" w:cs="Arial" w:eastAsia="Arial" w:hAnsi="Arial"/>
          <w:sz w:val="22"/>
          <w:szCs w:val="22"/>
        </w:rPr>
        <w:t>Obstacle Detection scans for micro-obstacles that are too small to appear in standard CCM polygon layers but large enough to stop or damage a vehicle. Three obstacle types are detected:</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Obstacle Type</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Detection Method</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Severity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Slope Break (SLOPE_BREAK)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Identifies locations where contour lines are packed tightly together, indicating a sudden steep rise or cliff. Uses GenerateNearTable with contour interval and slope threshold.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STOP if slope ≥ 60°; CAUTION otherwise</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Hydro Gap (GAP)</w:t>
            </w:r>
          </w:p>
        </w:tc>
        <w:tc>
          <w:tcPr>
            <w:tcW w:type="dxa" w:w="4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Detects narrow water crossings (ditches, streams) where feature length is less than the maximum gap width parameter.</w:t>
            </w:r>
          </w:p>
        </w:tc>
        <w:tc>
          <w:tcPr>
            <w:tcW w:type="dxa" w:w="3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STOP if gap width &lt; vehicle width; CAUTION otherwise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Linear Barrier (LINEAR_BARRIER)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Flags linear features (walls, fences, berms) from any supplied barrier feature class.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STOP (always requires manual verification)</w:t>
            </w:r>
          </w:p>
        </w:tc>
      </w:tr>
    </w:tbl>
    <w:p>
      <w:pPr>
        <w:spacing w:after="80" w:before="80"/>
      </w:pPr>
      <w:r/>
    </w:p>
    <w:p>
      <w:pPr>
        <w:pStyle w:val="Heading3"/>
        <w:spacing w:after="80" w:before="200"/>
      </w:pPr>
      <w:r>
        <w:rPr>
          <w:rFonts w:ascii="Arial" w:cs="Arial" w:eastAsia="Arial" w:hAnsi="Arial"/>
          <w:b/>
          <w:bCs/>
          <w:color w:val="1F3864"/>
          <w:sz w:val="24"/>
          <w:szCs w:val="24"/>
        </w:rPr>
        <w:t>Output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Field</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OBSTACLE_TYPE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SLOPE_BREAK / GAP / LINEAR_BARRIER / POINT_OBSTACLE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WIDTH_M</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Estimated obstacle or gap width in metres.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SEVERITY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STOP (impassable) or CAUTION (may be passable with care).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DESCRIPTION</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Plain-English description of the obstacle including computed slope angle or width.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VEHICLE_STOP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Semicolon-delimited list of vehicle names that this obstacle stops.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SOURCE_LAYER</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Name of the input layer from which this obstacle was detected.</w:t>
            </w:r>
          </w:p>
        </w:tc>
      </w:tr>
    </w:tbl>
    <w:p>
      <w:pPr>
        <w:spacing w:after="80" w:before="80"/>
      </w:pPr>
      <w:r/>
    </w:p>
    <w:p>
      <w:pPr>
        <w:pStyle w:val="Heading3"/>
        <w:spacing w:after="80" w:before="200"/>
      </w:pPr>
      <w:r>
        <w:rPr>
          <w:rFonts w:ascii="Arial" w:cs="Arial" w:eastAsia="Arial" w:hAnsi="Arial"/>
          <w:b/>
          <w:bCs/>
          <w:color w:val="1F3864"/>
          <w:sz w:val="24"/>
          <w:szCs w:val="24"/>
        </w:rPr>
        <w:t>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Parameter</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Default</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Contours FC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Polyline FC of contour lines for slope break detection.</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Hydro Line FC</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Polyline FC of streams, ditches, or drains.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Linear Barrier FC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Any linear FC (walls, fences, berm centrelines).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Vehicle Widths CSV</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Vehicles_Can.csv</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Used to determine which vehicles are stopped by each gap.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Contour Interval (m)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5.0 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Vertical interval between contour lines.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Slope Break Threshold (°)</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45°</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Slopes steeper than this are flagged as obstacles.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Max Ditch Width (m)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4.0 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Water crossings narrower than this are flagged as gaps.</w:t>
            </w:r>
          </w:p>
        </w:tc>
      </w:tr>
    </w:tbl>
    <w:p>
      <w:pPr>
        <w:spacing w:after="80" w:before="80"/>
      </w:pPr>
      <w:r/>
    </w:p>
    <w:p>
      <w:pPr>
        <w:pStyle w:val="Heading2"/>
        <w:spacing w:after="100" w:before="280"/>
      </w:pPr>
      <w:r>
        <w:rPr>
          <w:rFonts w:ascii="Arial" w:cs="Arial" w:eastAsia="Arial" w:hAnsi="Arial"/>
          <w:b/>
          <w:bCs/>
          <w:color w:val="2E75B6"/>
          <w:sz w:val="28"/>
          <w:szCs w:val="28"/>
        </w:rPr>
        <w:t>6.5  Analysis E — Waypoint Route</w:t>
      </w:r>
    </w:p>
    <w:p>
      <w:pPr>
        <w:spacing w:after="60" w:before="60"/>
      </w:pPr>
      <w:r>
        <w:rPr>
          <w:rFonts w:ascii="Arial" w:cs="Arial" w:eastAsia="Arial" w:hAnsi="Arial"/>
          <w:sz w:val="22"/>
          <w:szCs w:val="22"/>
        </w:rPr>
        <w:t>Waypoint Route finds the time-optimal (fastest) route between a start point and an end point, respecting the terrain speed constraints computed in Step 2.</w:t>
      </w:r>
    </w:p>
    <w:p>
      <w:pPr>
        <w:spacing w:after="80" w:before="80"/>
      </w:pPr>
      <w:r/>
    </w:p>
    <w:p>
      <w:pPr>
        <w:spacing w:after="60" w:before="60"/>
      </w:pPr>
      <w:r>
        <w:rPr>
          <w:rFonts w:ascii="Arial" w:cs="Arial" w:eastAsia="Arial" w:hAnsi="Arial"/>
          <w:sz w:val="22"/>
          <w:szCs w:val="22"/>
        </w:rPr>
        <w:t>If a start or end point falls in a No-Go zone, the tool automatically searches within a 500 m radius for the nearest passable location and snaps the point there before routing.</w:t>
      </w:r>
    </w:p>
    <w:p>
      <w:pPr>
        <w:spacing w:after="80" w:before="80"/>
      </w:pPr>
      <w:r/>
    </w:p>
    <w:p>
      <w:pPr>
        <w:pStyle w:val="Heading3"/>
        <w:spacing w:after="80" w:before="200"/>
      </w:pPr>
      <w:r>
        <w:rPr>
          <w:rFonts w:ascii="Arial" w:cs="Arial" w:eastAsia="Arial" w:hAnsi="Arial"/>
          <w:b/>
          <w:bCs/>
          <w:color w:val="1F3864"/>
          <w:sz w:val="24"/>
          <w:szCs w:val="24"/>
        </w:rPr>
        <w:t>Algorithm</w:t>
      </w:r>
    </w:p>
    <w:p>
      <w:pPr>
        <w:spacing w:after="60" w:before="60"/>
      </w:pPr>
      <w:r>
        <w:rPr>
          <w:rFonts w:ascii="Arial" w:cs="Arial" w:eastAsia="Arial" w:hAnsi="Arial"/>
          <w:sz w:val="22"/>
          <w:szCs w:val="22"/>
        </w:rPr>
        <w:t>Path finding uses a vector graph traversal over the CCM speed surface. Each polygon is a node; edges connect adjacent passable polygons. Edge weight equals travel time (polygon area / average speed). Dijkstra’s algorithm finds the minimum-time path.</w:t>
      </w:r>
    </w:p>
    <w:p>
      <w:pPr>
        <w:spacing w:after="80" w:before="80"/>
      </w:pPr>
      <w:r/>
    </w:p>
    <w:p>
      <w:pPr>
        <w:pStyle w:val="Heading3"/>
        <w:spacing w:after="80" w:before="200"/>
      </w:pPr>
      <w:r>
        <w:rPr>
          <w:rFonts w:ascii="Arial" w:cs="Arial" w:eastAsia="Arial" w:hAnsi="Arial"/>
          <w:b/>
          <w:bCs/>
          <w:color w:val="1F3864"/>
          <w:sz w:val="24"/>
          <w:szCs w:val="24"/>
        </w:rPr>
        <w:t>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Output</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Route polyline FC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The optimal route as a line feature.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Route points FC</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Start and end points (with snapped positions shown if the original points were in No-Go areas).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Geoprocessing summary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Total distance (m and km), estimated travel time per vehicle, list of vehicles that can complete the route, and reasons any vehicle cannot complete it.</w:t>
            </w:r>
          </w:p>
        </w:tc>
      </w:tr>
    </w:tbl>
    <w:p>
      <w:pPr>
        <w:spacing w:after="80" w:before="80"/>
      </w:pPr>
      <w:r/>
    </w:p>
    <w:p>
      <w:pPr>
        <w:pStyle w:val="Heading3"/>
        <w:spacing w:after="80" w:before="200"/>
      </w:pPr>
      <w:r>
        <w:rPr>
          <w:rFonts w:ascii="Arial" w:cs="Arial" w:eastAsia="Arial" w:hAnsi="Arial"/>
          <w:b/>
          <w:bCs/>
          <w:color w:val="1F3864"/>
          <w:sz w:val="24"/>
          <w:szCs w:val="24"/>
        </w:rPr>
        <w:t>Coordinate Entry for Start / End Points</w:t>
      </w:r>
    </w:p>
    <w:p>
      <w:pPr>
        <w:spacing w:after="60" w:before="60"/>
      </w:pPr>
      <w:r>
        <w:rPr>
          <w:rFonts w:ascii="Arial" w:cs="Arial" w:eastAsia="Arial" w:hAnsi="Arial"/>
          <w:sz w:val="22"/>
          <w:szCs w:val="22"/>
        </w:rPr>
        <w:t>All five coordinate formats are accepted. The tool auto-detects the format and converts to the project CRS: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Format</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Example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MGRS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18TVR1234567890</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Decimal Degrees (DD)</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45.6466N 75.5957W  or  45.6466 −75.5957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Degrees Minutes Seconds (DMS)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45°38‧48″N 75°35‧45″W</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Degrees Decimal Minutes (DDM)</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45°38.800′N 75°35.742′W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UTM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18T 611234 5051234</w:t>
            </w:r>
          </w:p>
        </w:tc>
      </w:tr>
    </w:tbl>
    <w:p>
      <w:r/>
    </w:p>
    <w:p>
      <w:pPr>
        <w:pStyle w:val="Heading1"/>
        <w:pBdr>
          <w:bottom w:val="single" w:color="2E75B6" w:sz="6" w:space="4"/>
        </w:pBdr>
        <w:spacing w:after="120" w:before="360"/>
      </w:pPr>
      <w:r>
        <w:rPr>
          <w:rFonts w:ascii="Arial" w:cs="Arial" w:eastAsia="Arial" w:hAnsi="Arial"/>
          <w:b/>
          <w:bCs/>
          <w:color w:val="1F3864"/>
          <w:sz w:val="32"/>
          <w:szCs w:val="32"/>
        </w:rPr>
        <w:t>7.  Live Weather Integration</w:t>
      </w:r>
    </w:p>
    <w:p>
      <w:pPr>
        <w:spacing w:after="60" w:before="60"/>
      </w:pPr>
      <w:r>
        <w:rPr>
          <w:rFonts w:ascii="Arial" w:cs="Arial" w:eastAsia="Arial" w:hAnsi="Arial"/>
          <w:sz w:val="22"/>
          <w:szCs w:val="22"/>
        </w:rPr>
        <w:t>The tool can query real-time rainfall data and adjust soil RCI (Rating Cone Index) values to reflect current ground conditions. Wetter soil is softer and less trafficable. As of v0.46, this is wired directly into Step 2 through two optional parameters in the Weather category: Use Live Weather (fetches current rainfall for the analysis-area centroid and applies the rainfall penalty to the RCI table before computing F4/F5) and Manual Rainfall Override (mm/hr) (a fixed rainfall rate for exercises or local knowledge; takes precedence over the live lookup). Rock and evaporite soils remain immune to rainfall; fine clays are penalised hardest.</w:t>
      </w:r>
    </w:p>
    <w:p>
      <w:pPr>
        <w:spacing w:after="80" w:before="80"/>
      </w:pPr>
      <w:r/>
    </w:p>
    <w:p>
      <w:pPr>
        <w:pStyle w:val="Heading2"/>
        <w:spacing w:after="100" w:before="280"/>
      </w:pPr>
      <w:r>
        <w:rPr>
          <w:rFonts w:ascii="Arial" w:cs="Arial" w:eastAsia="Arial" w:hAnsi="Arial"/>
          <w:b/>
          <w:bCs/>
          <w:color w:val="2E75B6"/>
          <w:sz w:val="28"/>
          <w:szCs w:val="28"/>
        </w:rPr>
        <w:t>7.1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Source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Coverage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ArcGIS Living Atlas — NOAA METAR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Worldwide weather stations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Primary source. Queries the nearest station within a configurable radius. No API key required.</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Open-Meteo</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Worldwide (gridded forecast model)</w:t>
            </w:r>
          </w:p>
        </w:tc>
        <w:tc>
          <w:tcPr>
            <w:tcW w:type="dxa" w:w="4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Free fallback. No API key required. Used automatically if Living Atlas is unavailable or no nearby station is found.</w:t>
            </w:r>
          </w:p>
        </w:tc>
      </w:tr>
    </w:tbl>
    <w:p>
      <w:pPr>
        <w:spacing w:after="80" w:before="80"/>
      </w:pPr>
      <w:r/>
    </w:p>
    <w:p>
      <w:pPr>
        <w:pStyle w:val="Heading2"/>
        <w:spacing w:after="100" w:before="280"/>
      </w:pPr>
      <w:r>
        <w:rPr>
          <w:rFonts w:ascii="Arial" w:cs="Arial" w:eastAsia="Arial" w:hAnsi="Arial"/>
          <w:b/>
          <w:bCs/>
          <w:color w:val="2E75B6"/>
          <w:sz w:val="28"/>
          <w:szCs w:val="28"/>
        </w:rPr>
        <w:t>7.2  Rainfall → RCI Adjustment Model</w:t>
      </w:r>
    </w:p>
    <w:p>
      <w:pPr>
        <w:spacing w:after="60" w:before="60"/>
      </w:pPr>
      <w:r>
        <w:rPr>
          <w:rFonts w:ascii="Arial" w:cs="Arial" w:eastAsia="Arial" w:hAnsi="Arial"/>
          <w:sz w:val="22"/>
          <w:szCs w:val="22"/>
        </w:rPr>
        <w:t>The rainfall penalty model follows NATO STANAG 4234 and US Army FM 5-170 trafficability guidelines. A multiplicative factor is applied to base RCI values: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Rainfall Rate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RCI Multiplier</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Condition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0 mm/hr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No rain — no penalty</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2 mm/hr</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0.90</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Light rain — slightly softer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10 mm/hr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0.75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Moderate rain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25 mm/hr</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0.55</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Heavy rain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50 mm/hr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0.35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Very heavy rain / storm</w:t>
            </w:r>
          </w:p>
        </w:tc>
      </w:tr>
    </w:tbl>
    <w:p>
      <w:pPr>
        <w:spacing w:after="80" w:before="80"/>
      </w:pPr>
      <w:r/>
    </w:p>
    <w:p>
      <w:pPr>
        <w:spacing w:after="60" w:before="60"/>
      </w:pPr>
      <w:r>
        <w:rPr>
          <w:rFonts w:ascii="Arial" w:cs="Arial" w:eastAsia="Arial" w:hAnsi="Arial"/>
          <w:sz w:val="22"/>
          <w:szCs w:val="22"/>
        </w:rPr>
        <w:t>Fine-grained soils (clay, silt, organic — USCS codes CL, CH, ML, MH, Pt) receive an additional penalty compared to coarse soils (GW, GP, SW, SP) which are largely unaffected by rainfall.</w:t>
      </w:r>
    </w:p>
    <w:p>
      <w:pPr>
        <w:pStyle w:val="Heading2"/>
        <w:spacing w:after="100" w:before="280"/>
      </w:pPr>
      <w:r>
        <w:rPr>
          <w:rFonts w:ascii="Arial" w:cs="Arial" w:eastAsia="Arial" w:hAnsi="Arial"/>
          <w:b/>
          <w:bCs/>
          <w:color w:val="2E75B6"/>
          <w:sz w:val="28"/>
          <w:szCs w:val="28"/>
        </w:rPr>
        <w:t>7.3  Calibrating Soil Strength (soil_rci.csv)</w:t>
      </w:r>
    </w:p>
    <w:p>
      <w:pPr>
        <w:spacing w:after="80" w:before="80"/>
      </w:pPr>
      <w:r>
        <w:rPr>
          <w:rFonts w:ascii="Arial" w:cs="Arial" w:eastAsia="Arial" w:hAnsi="Arial"/>
          <w:sz w:val="22"/>
          <w:szCs w:val="22"/>
        </w:rPr>
        <w:t>Since v0.46, the RCI (Rating Cone Index) values used by Step 2 are no longer hard-coded. They are loaded at start-up from soil_rci.csv, which ships in the tool folder next to the Python modules. The file has one row per USCS soil code with three columns: rci_dry, rci_moist, and rci_wet.</w:t>
      </w:r>
    </w:p>
    <w:p>
      <w:pPr>
        <w:spacing w:after="80" w:before="80"/>
      </w:pPr>
      <w:r>
        <w:rPr>
          <w:rFonts w:ascii="Arial" w:cs="Arial" w:eastAsia="Arial" w:hAnsi="Arial"/>
          <w:sz w:val="22"/>
          <w:szCs w:val="22"/>
        </w:rPr>
        <w:t>Since v0.49, the built-in RCI values have been calibrated to ERDC/GL TR-02-6 Table 2, FM 5-430-00-1 Appendix E, and the NRMM soil-strength database (Turnage 1971). Analysts can further calibrate trafficability by editing soil_rci.csv — no code changes are required. If the CSV is missing or malformed, the tool falls back to its built-in default values and reports a warning in the Geoprocessing Messages pane. For scripted what-if analyses outside ArcGIS Pro, soil_factor() also accepts an explicit rci_table argument.</w:t>
      </w:r>
    </w:p>
    <w:p>
      <w:pPr>
        <w:pStyle w:val="Heading2"/>
        <w:spacing w:after="100" w:before="280"/>
      </w:pPr>
      <w:r>
        <w:rPr>
          <w:rFonts w:ascii="Arial" w:cs="Arial" w:eastAsia="Arial" w:hAnsi="Arial"/>
          <w:b/>
          <w:bCs/>
          <w:color w:val="2E75B6"/>
          <w:sz w:val="28"/>
          <w:szCs w:val="28"/>
        </w:rPr>
        <w:t>7.4  Speed Made Good (SMG) Summary</w:t>
      </w:r>
    </w:p>
    <w:p>
      <w:pPr>
        <w:spacing w:after="60" w:before="60"/>
      </w:pPr>
      <w:r>
        <w:rPr>
          <w:rFonts w:ascii="Arial" w:cs="Arial" w:hAnsi="Arial"/>
          <w:sz w:val="22"/>
          <w:szCs w:val="22"/>
        </w:rPr>
        <w:t>After every Step 2 run, the Geoprocessing Messages pane displays a NATO NG-NRMM doctrinal mobility summary. The key metric is the area-weighted Speed Made Good (SMG) curve — the canonical NG-NRMM output showing, for each speed threshold v km/h, what percentage of the AOI can be traversed at ≥ v km/h. This is the operationally meaningful figure for mission planning, replacing the simple polygon-count %NOGO used in earlier versions.</w:t>
      </w:r>
    </w:p>
    <w:p>
      <w:pPr>
        <w:spacing w:after="60" w:before="60"/>
      </w:pPr>
      <w:r>
        <w:rPr>
          <w:rFonts w:ascii="Arial" w:cs="Arial" w:hAnsi="Arial"/>
          <w:sz w:val="22"/>
          <w:szCs w:val="22"/>
        </w:rPr>
        <w:t>Example summary output (Geoprocessing Messages pane):</w:t>
      </w:r>
    </w:p>
    <w:p>
      <w:pPr>
        <w:spacing w:after="40" w:before="40"/>
        <w:ind w:left="720"/>
      </w:pPr>
      <w:r>
        <w:rPr>
          <w:rFonts w:ascii="Courier New" w:cs="Courier New" w:hAnsi="Courier New"/>
          <w:sz w:val="18"/>
          <w:szCs w:val="18"/>
          <w:color w:val="404040"/>
        </w:rPr>
        <w:t>NG-NRMM SPEED MADE GOOD (area-weighted):</w:t>
      </w:r>
    </w:p>
    <w:p>
      <w:pPr>
        <w:spacing w:after="20" w:before="20"/>
        <w:ind w:left="720"/>
      </w:pPr>
      <w:r>
        <w:rPr>
          <w:rFonts w:ascii="Courier New" w:cs="Courier New" w:hAnsi="Courier New"/>
          <w:sz w:val="18"/>
          <w:szCs w:val="18"/>
          <w:color w:val="404040"/>
        </w:rPr>
        <w:t xml:space="preserve">  %NOGO by area   :  18.3%  (0.412 km²)</w:t>
      </w:r>
    </w:p>
    <w:p>
      <w:pPr>
        <w:spacing w:after="20" w:before="20"/>
        <w:ind w:left="720"/>
      </w:pPr>
      <w:r>
        <w:rPr>
          <w:rFonts w:ascii="Courier New" w:cs="Courier New" w:hAnsi="Courier New"/>
          <w:sz w:val="18"/>
          <w:szCs w:val="18"/>
          <w:color w:val="404040"/>
        </w:rPr>
        <w:t xml:space="preserve">  Mean speed      :  32.4 km/h  (mobile terrain)</w:t>
      </w:r>
    </w:p>
    <w:p>
      <w:pPr>
        <w:spacing w:after="20" w:before="20"/>
        <w:ind w:left="720"/>
      </w:pPr>
      <w:r>
        <w:rPr>
          <w:rFonts w:ascii="Courier New" w:cs="Courier New" w:hAnsi="Courier New"/>
          <w:sz w:val="18"/>
          <w:szCs w:val="18"/>
          <w:color w:val="404040"/>
        </w:rPr>
        <w:t xml:space="preserve">  Median speed    :  35.0 km/h</w:t>
      </w:r>
    </w:p>
    <w:p>
      <w:pPr>
        <w:spacing w:after="20" w:before="20"/>
        <w:ind w:left="720"/>
      </w:pPr>
      <w:r>
        <w:rPr>
          <w:rFonts w:ascii="Courier New" w:cs="Courier New" w:hAnsi="Courier New"/>
          <w:sz w:val="18"/>
          <w:szCs w:val="18"/>
          <w:color w:val="404040"/>
        </w:rPr>
        <w:t xml:space="preserve">  SMG CDF:   0.0 km/h [####################] 100.0%</w:t>
      </w:r>
    </w:p>
    <w:p>
      <w:pPr>
        <w:spacing w:after="20" w:before="20"/>
        <w:ind w:left="720"/>
      </w:pPr>
      <w:r>
        <w:rPr>
          <w:rFonts w:ascii="Courier New" w:cs="Courier New" w:hAnsi="Courier New"/>
          <w:sz w:val="18"/>
          <w:szCs w:val="18"/>
          <w:color w:val="404040"/>
        </w:rPr>
        <w:t xml:space="preserve">            12.5 km/h [################....] 81.7%</w:t>
      </w:r>
    </w:p>
    <w:p>
      <w:pPr>
        <w:spacing w:after="60" w:before="20"/>
        <w:ind w:left="720"/>
      </w:pPr>
      <w:r>
        <w:rPr>
          <w:rFonts w:ascii="Courier New" w:cs="Courier New" w:hAnsi="Courier New"/>
          <w:sz w:val="18"/>
          <w:szCs w:val="18"/>
          <w:color w:val="404040"/>
        </w:rPr>
        <w:t xml:space="preserve">            25.0 km/h [#############.......] 64.2%</w:t>
      </w:r>
    </w:p>
    <w:p>
      <w:pPr>
        <w:spacing w:after="60" w:before="60"/>
      </w:pPr>
      <w:r>
        <w:rPr>
          <w:rFonts w:ascii="Arial" w:cs="Arial" w:hAnsi="Arial"/>
          <w:sz w:val="22"/>
          <w:szCs w:val="22"/>
        </w:rPr>
        <w:t>The %NOGO by area figure is the most operationally important single number — it tells the planner what fraction of the AOI the selected vehicle cannot enter at all under the current conditions. No additional action is required to generate this summary; it is produced automatically after every Step 2 run.</w:t>
      </w:r>
    </w:p>
    <w:p>
      <w:pPr>
        <w:pStyle w:val="Heading2"/>
        <w:spacing w:after="100" w:before="280"/>
      </w:pPr>
      <w:r>
        <w:rPr>
          <w:rFonts w:ascii="Arial" w:cs="Arial" w:eastAsia="Arial" w:hAnsi="Arial"/>
          <w:b/>
          <w:bCs/>
          <w:color w:val="2E75B6"/>
          <w:sz w:val="28"/>
          <w:szCs w:val="28"/>
        </w:rPr>
        <w:t>7.5  Spatial Soil Moisture (Use Spatial Soil Moisture)</w:t>
      </w:r>
    </w:p>
    <w:p>
      <w:pPr>
        <w:spacing w:after="60" w:before="60"/>
      </w:pPr>
      <w:r>
        <w:rPr>
          <w:rFonts w:ascii="Arial" w:cs="Arial" w:hAnsi="Arial"/>
          <w:sz w:val="22"/>
          <w:szCs w:val="22"/>
        </w:rPr>
        <w:t>The default weather integration (Section 7) fetches a single rainfall value at the AOI centroid and applies it uniformly. For large or topographically varied AOIs, this is unrealistic — soil moisture varies with drainage, aspect, and precipitation gradients. The Use Spatial Soil Moisture option (Weather category, opt-in) addresses this by querying Open-Meteo ERA5 soil moisture (0–7 cm layer, m³/m³) at a 3×3 grid of points across the AOI and assigning each polygon the moisture condition of its nearest grid point.</w:t>
      </w:r>
    </w:p>
    <w:p>
      <w:pPr>
        <w:spacing w:after="60" w:before="60"/>
      </w:pPr>
      <w:r>
        <w:rPr>
          <w:rFonts w:ascii="Arial" w:cs="Arial" w:hAnsi="Arial"/>
          <w:sz w:val="22"/>
          <w:szCs w:val="22"/>
        </w:rPr>
        <w:t>Moisture thresholds: VWC &lt; 0.15 m³/m³ = dry; 0.15–0.30 = moist; ≥ 0.30 = wet. When this option is enabled, the spatial per-polygon moisture condition overrides the manual Soil Moisture Condition parameter for each polygon individually. The Open-Meteo ERA5 product is the free baseline (~9 km resolution). NASA SMAP L4 (true 9 km, 3-hourly, with freeze/thaw) is the NG-NRMM gold standard and can be substituted when NASA Earthdata credentials are available (contact your GIS analyst).</w:t>
      </w:r>
    </w:p>
    <w:p>
      <w:pPr>
        <w:pStyle w:val="Heading2"/>
        <w:spacing w:after="100" w:before="280"/>
      </w:pPr>
      <w:r>
        <w:rPr>
          <w:rFonts w:ascii="Arial" w:cs="Arial" w:eastAsia="Arial" w:hAnsi="Arial"/>
          <w:b/>
          <w:bCs/>
          <w:color w:val="2E75B6"/>
          <w:sz w:val="28"/>
          <w:szCs w:val="28"/>
        </w:rPr>
        <w:t>7.6  Stochastic Probability of GO — P(GO) Field</w:t>
      </w:r>
    </w:p>
    <w:p>
      <w:pPr>
        <w:spacing w:after="60" w:before="60"/>
      </w:pPr>
      <w:r>
        <w:rPr>
          <w:rFonts w:ascii="Arial" w:cs="Arial" w:hAnsi="Arial"/>
          <w:sz w:val="22"/>
          <w:szCs w:val="22"/>
        </w:rPr>
        <w:t>The binary GO/NO GO classification in the Mobility field does not convey uncertainty. The Enable Stochastic P(GO) option (Advanced category, opt-in) adds a P_GO field (Double, 0.0–1.0) representing the probability that the polygon is traversable, derived from Monte Carlo simulation. Each trial perturbs the soil RCI (coefficient of variation 15%, consistent with ERDC field cone-index variability) and slope (CV 10%, reflecting DEM vertical accuracy). The fraction of trials returning GO is P_GO.</w:t>
      </w:r>
    </w:p>
    <w:p>
      <w:pPr>
        <w:spacing w:after="60" w:before="60"/>
      </w:pPr>
      <w:r>
        <w:rPr>
          <w:rFonts w:ascii="Arial" w:cs="Arial" w:hAnsi="Arial"/>
          <w:sz w:val="22"/>
          <w:szCs w:val="22"/>
        </w:rPr>
        <w:t>Default: 200 trials per polygon (Monte Carlo Trials parameter). Increase to 500 for final products. The feature adds approximately 200 × n_polygons function calls and may increase run time on large AOIs. A polygon classified GO in the Mobility field with P_GO = 0.65 means only 65% of uncertainty-perturbed trials succeeded — it is a high-risk crossing. P_GO = 1.0 means the polygon is robustly GO across all perturbations.</w:t>
      </w:r>
    </w:p>
    <w:p>
      <w:pPr>
        <w:pStyle w:val="Heading2"/>
        <w:spacing w:after="100" w:before="280"/>
      </w:pPr>
      <w:r>
        <w:rPr>
          <w:rFonts w:ascii="Arial" w:cs="Arial" w:eastAsia="Arial" w:hAnsi="Arial"/>
          <w:b/>
          <w:bCs/>
          <w:color w:val="2E75B6"/>
          <w:sz w:val="28"/>
          <w:szCs w:val="28"/>
        </w:rPr>
        <w:t>7.7  Mean Maximum Pressure (MMP) Metric</w:t>
      </w:r>
    </w:p>
    <w:p>
      <w:pPr>
        <w:spacing w:after="60" w:before="60"/>
      </w:pPr>
      <w:r>
        <w:rPr>
          <w:rFonts w:ascii="Arial" w:cs="Arial" w:hAnsi="Arial"/>
          <w:sz w:val="22"/>
          <w:szCs w:val="22"/>
        </w:rPr>
        <w:t>Mean Maximum Pressure (MMP, kPa) is the modern cross-vehicle ground-pressure comparison metric cited in NG-NRMM literature. It enables direct comparison between wheeled and tracked platforms on soft ground. A lower MMP means the vehicle’s weight is distributed over more ground contact area, reducing soil disturbance and improving trafficability on weak soils.</w:t>
      </w:r>
    </w:p>
    <w:p>
      <w:pPr>
        <w:spacing w:after="60" w:before="60"/>
      </w:pPr>
      <w:r>
        <w:rPr>
          <w:rFonts w:ascii="Arial" w:cs="Arial" w:hAnsi="Arial"/>
          <w:sz w:val="22"/>
          <w:szCs w:val="22"/>
        </w:rPr>
        <w:t>The mmp_kpa column in Vehicles_Can.csv is derived from the ERDC empirical relationship (Shoop 2000 / ERDC-CRREL TR-00-20): for tracked vehicles, VCI_50 ≈ 0.56 × MMP; for wheeled, VCI_50 ≈ 0.18 × MMP. Example values: M1 Abrams ~104 kPa (tracked), M35A2 truck ~328 kPa (wheeled) — tracked vehicles outperform wheels on soft ground because their MMP is 3× lower. Step 2 logs the MMP estimate alongside VCI_50 in the completion summary. Replace formula-derived values with measured values from vehicle technical manuals (ERDC/GL-00-1 or OEM specs) when available.</w:t>
      </w:r>
    </w:p>
    <w:p>
      <w:r/>
    </w:p>
    <w:p>
      <w:pPr>
        <w:pStyle w:val="Heading1"/>
        <w:pBdr>
          <w:bottom w:val="single" w:color="2E75B6" w:sz="6" w:space="4"/>
        </w:pBdr>
        <w:spacing w:after="120" w:before="360"/>
      </w:pPr>
      <w:r>
        <w:rPr>
          <w:rFonts w:ascii="Arial" w:cs="Arial" w:eastAsia="Arial" w:hAnsi="Arial"/>
          <w:b/>
          <w:bCs/>
          <w:color w:val="1F3864"/>
          <w:sz w:val="32"/>
          <w:szCs w:val="32"/>
        </w:rPr>
        <w:t>8.  Output Reference</w:t>
      </w:r>
    </w:p>
    <w:p>
      <w:pPr>
        <w:pStyle w:val="Heading2"/>
        <w:spacing w:after="100" w:before="280"/>
      </w:pPr>
      <w:r>
        <w:rPr>
          <w:rFonts w:ascii="Arial" w:cs="Arial" w:eastAsia="Arial" w:hAnsi="Arial"/>
          <w:b/>
          <w:bCs/>
          <w:color w:val="2E75B6"/>
          <w:sz w:val="28"/>
          <w:szCs w:val="28"/>
        </w:rPr>
        <w:t>8.1  Project Root Folder Structure</w:t>
      </w:r>
    </w:p>
    <w:p>
      <w:pPr>
        <w:spacing w:after="60" w:before="60"/>
      </w:pPr>
      <w:r>
        <w:rPr>
          <w:rFonts w:ascii="Arial" w:cs="Arial" w:eastAsia="Arial" w:hAnsi="Arial"/>
          <w:sz w:val="22"/>
          <w:szCs w:val="22"/>
        </w:rPr>
        <w:t>After running Steps 0/0b, 1, and 2, your Project Root Folder contains: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File / Folder</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03_Project.gdb\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File Geodatabase containing all output feature classes.</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03_Project.gdb\soil_ccm</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Pre-processed soil polygon FC with soilType (USCS) field.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03_Project.gdb\veg_ccm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Pre-processed vegetation polygon FC with VTI, treeSpacing, stemDiameter fields.</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03_Project.gdb\speed_surface_&lt;vehicle&gt;_&lt;moisture&gt;</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Main CCM output: polygon FC with SpeedKMH, Mobility, F1–F5 fields.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03_Project.gdb\ccm_obstacles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Obstacle point FC (from Analysis D).</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03_Project.gdb\isochrones_&lt;vehicle&gt;</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Isochrone polygon FC (from Analysis B).</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03_Project.gdb\vehicle_compare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 comparison polygon FC (from Analysis C).</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03_Project.gdb\route</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Optimal route polyline FC (from Analysis 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03_Project.gdb\route_points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Route start/end point FC (from Analysis E).</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ccm_project.json</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Project configuration file. Human-readable JSON.</w:t>
            </w:r>
          </w:p>
        </w:tc>
      </w:tr>
    </w:tbl>
    <w:p>
      <w:pPr>
        <w:spacing w:after="80" w:before="80"/>
      </w:pPr>
      <w:r/>
    </w:p>
    <w:p>
      <w:pPr>
        <w:pStyle w:val="Heading2"/>
        <w:spacing w:after="100" w:before="280"/>
      </w:pPr>
      <w:r>
        <w:rPr>
          <w:rFonts w:ascii="Arial" w:cs="Arial" w:eastAsia="Arial" w:hAnsi="Arial"/>
          <w:b/>
          <w:bCs/>
          <w:color w:val="2E75B6"/>
          <w:sz w:val="28"/>
          <w:szCs w:val="28"/>
        </w:rPr>
        <w:t>8.2  Applying Symbology</w:t>
      </w:r>
    </w:p>
    <w:p>
      <w:pPr>
        <w:spacing w:after="60" w:before="60"/>
      </w:pPr>
      <w:r>
        <w:rPr>
          <w:rFonts w:ascii="Arial" w:cs="Arial" w:eastAsia="Arial" w:hAnsi="Arial"/>
          <w:sz w:val="22"/>
          <w:szCs w:val="22"/>
        </w:rPr>
        <w:t>The tool ships with two ArcGIS layer files in the Symbology\ folder:</w:t>
      </w:r>
    </w:p>
    <w:p>
      <w:pPr>
        <w:spacing w:after="80" w:before="80"/>
      </w:pPr>
      <w:r/>
    </w:p>
    <w:p>
      <w:pPr>
        <w:pStyle w:val="ListParagraph"/>
        <w:numPr>
          <w:ilvl w:val="0"/>
          <w:numId w:val="2"/>
        </w:numPr>
        <w:spacing w:after="40" w:before="40"/>
      </w:pPr>
      <w:r>
        <w:rPr>
          <w:rFonts w:ascii="Arial" w:cs="Arial" w:eastAsia="Arial" w:hAnsi="Arial"/>
          <w:sz w:val="22"/>
          <w:szCs w:val="22"/>
        </w:rPr>
        <w:t>Mobility_Symbology.lyrx — Standard CCM 5-class symbology (Go / Slow Go / Restricted / Marginal / No Go).</w:t>
      </w:r>
    </w:p>
    <w:p>
      <w:pPr>
        <w:pStyle w:val="ListParagraph"/>
        <w:numPr>
          <w:ilvl w:val="0"/>
          <w:numId w:val="2"/>
        </w:numPr>
        <w:spacing w:after="40" w:before="40"/>
      </w:pPr>
      <w:r>
        <w:rPr>
          <w:rFonts w:ascii="Arial" w:cs="Arial" w:eastAsia="Arial" w:hAnsi="Arial"/>
          <w:sz w:val="22"/>
          <w:szCs w:val="22"/>
        </w:rPr>
        <w:t>Mobility_Symbology_Final.lyrx — Refined symbology with additional annotation support.</w:t>
      </w:r>
    </w:p>
    <w:p>
      <w:pPr>
        <w:spacing w:after="80" w:before="80"/>
      </w:pPr>
      <w:r/>
    </w:p>
    <w:p>
      <w:pPr>
        <w:spacing w:after="60" w:before="60"/>
      </w:pPr>
      <w:r>
        <w:rPr>
          <w:rFonts w:ascii="Arial" w:cs="Arial" w:eastAsia="Arial" w:hAnsi="Arial"/>
          <w:sz w:val="22"/>
          <w:szCs w:val="22"/>
        </w:rPr>
        <w:t>To apply: In the Contents pane, right-click the speed surface layer → Symbology → Import symbology → select the .lyrx file → match on the Mobility field (values GO / RESTRICTED / NO GO).</w:t>
      </w:r>
    </w:p>
    <w:p>
      <w:pPr>
        <w:spacing w:after="80" w:before="80"/>
      </w:pPr>
      <w:r/>
    </w:p>
    <w:p>
      <w:pPr>
        <w:pStyle w:val="Heading2"/>
        <w:spacing w:after="100" w:before="280"/>
      </w:pPr>
      <w:r>
        <w:rPr>
          <w:rFonts w:ascii="Arial" w:cs="Arial" w:eastAsia="Arial" w:hAnsi="Arial"/>
          <w:b/>
          <w:bCs/>
          <w:color w:val="2E75B6"/>
          <w:sz w:val="28"/>
          <w:szCs w:val="28"/>
        </w:rPr>
        <w:t>8.3  USCS Soil Classification Codes</w:t>
      </w:r>
    </w:p>
    <w:p>
      <w:pPr>
        <w:spacing w:after="60" w:before="60"/>
      </w:pPr>
      <w:r>
        <w:rPr>
          <w:rFonts w:ascii="Arial" w:cs="Arial" w:eastAsia="Arial" w:hAnsi="Arial"/>
          <w:sz w:val="22"/>
          <w:szCs w:val="22"/>
        </w:rPr>
        <w:t>The soilType field contains two-letter USCS (Unified Soil Classification System) codes. The CCM tool uses VCI (Vehicle Cone Index) values derived from these codes to compute soil trafficability.</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USCS Code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Soil Name</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Typical Trafficability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Well-graded gravel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Excellent</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GP</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Poorly graded gravel</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Excellent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Silty gravel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Good</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GC</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Clayey gravel</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Good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Well-graded sand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Good</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SP</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Poorly graded sand</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Fair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Silty sand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Fair</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SC</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Clayey sand</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Fair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Low-plasticity silt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Poor (wet conditions)</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CL</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Low-plasticity clay</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Poor (wet conditions)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Low-plasticity organic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Poor</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MH</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High-plasticity silt</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Very poor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High-plasticity clay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Very poor</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OH</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High-plasticity organic</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Very poor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Peat / highly organic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Impassable in most conditions</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NE</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Not evaluated</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Unknown (gap-filled default)</w:t>
            </w:r>
          </w:p>
        </w:tc>
      </w:tr>
    </w:tbl>
    <w:p>
      <w:r/>
    </w:p>
    <w:p>
      <w:pPr>
        <w:pStyle w:val="Heading1"/>
        <w:pBdr>
          <w:bottom w:val="single" w:color="2E75B6" w:sz="6" w:space="4"/>
        </w:pBdr>
        <w:spacing w:after="120" w:before="360"/>
      </w:pPr>
      <w:r>
        <w:rPr>
          <w:rFonts w:ascii="Arial" w:cs="Arial" w:eastAsia="Arial" w:hAnsi="Arial"/>
          <w:b/>
          <w:bCs/>
          <w:color w:val="1F3864"/>
          <w:sz w:val="32"/>
          <w:szCs w:val="32"/>
        </w:rPr>
        <w:t>9.  Troubleshooting</w:t>
      </w:r>
    </w:p>
    <w:p>
      <w:pPr>
        <w:pStyle w:val="Heading2"/>
        <w:spacing w:after="100" w:before="280"/>
      </w:pPr>
      <w:r>
        <w:rPr>
          <w:rFonts w:ascii="Arial" w:cs="Arial" w:eastAsia="Arial" w:hAnsi="Arial"/>
          <w:b/>
          <w:bCs/>
          <w:color w:val="2E75B6"/>
          <w:sz w:val="28"/>
          <w:szCs w:val="28"/>
        </w:rPr>
        <w:t>9.1  Common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Error / Symptom</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Cause</w:t>
            </w:r>
          </w:p>
        </w:tc>
        <w:tc>
          <w:tcPr>
            <w:tcW w:type="dxa" w:w="4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Solution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"Analysis Extent uses a Geographic CRS"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The extent polygon is in WGS84 or another lat/lon CRS.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Reproject the extent polygon to a Projected CRS (e.g., UTM) using the Project tool in ArcGIS Pro.</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"ccm_soil_preprocess.py not loaded"</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The companion Python module could not be found.</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Ensure all .py files from the CCM_Tool folder are in the same directory as CCM_Tool_v0.60.10.pyt.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Step 3 Isochrone returns empty output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Start point coordinate was not parsed (wrong format) or falls outside the speed surface.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Check the coordinate format. Use the built-in coordinate display to confirm the parsed location before running.</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Vehicle Comparison dropdown is empty</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No second vehicle speed surface has been generated in Step 2.</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Run Step 2 at least twice with two different vehicles. The project config records each run.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SoilGrids processing is slow or runs out of memory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Large AOI combined with Weighted 0–30 cm depth mode loads three raster stacks.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Use a smaller depth (e.g., 0–5 cm) for initial testing, or clip SoilGrids rasters to your AOI before input.</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"Spatial Analyst unavailable"</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Spatial Analyst extension is not licensed or not checked out.</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In ArcGIS Pro: Settings → Licensing → Spatial Analyst. Ensure the extension is available in your licence.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No-Go area unexpectedly large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 gap-fill defaulted to NE (Not Evaluated), which may have a low VCI.</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Re-run Step 1 and change the Gap-Fill Strategy to a site-appropriate USCS code, or provide better-coverage soil data.</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Obstacle detection found zero obstacles</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No contour / hydro / barrier features were supplied, or features are outside the AOI.</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Confirm that the input layers overlap the AOI. Check the Geoprocessing Messages pane for clipping warnings.</w:t>
            </w:r>
          </w:p>
        </w:tc>
      </w:tr>
      <w:tr>
        <w:tc>
          <w:tcPr>
            <w:tcW w:type="dxa" w:w="2800"/>
          </w:tcPr>
          <w:p>
            <w:r>
              <w:rPr>
                <w:rFonts w:ascii="Arial" w:hAnsi="Arial"/>
                <w:sz w:val="20"/>
              </w:rPr>
              <w:t>Step 0: “No Output Coordinate System selected” warning</w:t>
            </w:r>
          </w:p>
        </w:tc>
        <w:tc>
          <w:tcPr>
            <w:tcW w:type="dxa" w:w="2500"/>
          </w:tcPr>
          <w:p>
            <w:r>
              <w:rPr>
                <w:rFonts w:ascii="Arial" w:hAnsi="Arial"/>
                <w:sz w:val="20"/>
              </w:rPr>
              <w:t>Output Coordinate System was left blank, so imported MGCP data keeps its source Geographic CRS (WGS84).</w:t>
            </w:r>
          </w:p>
        </w:tc>
        <w:tc>
          <w:tcPr>
            <w:tcW w:type="dxa" w:w="4060"/>
          </w:tcPr>
          <w:p>
            <w:r>
              <w:rPr>
                <w:rFonts w:ascii="Arial" w:hAnsi="Arial"/>
                <w:sz w:val="20"/>
              </w:rPr>
              <w:t>Set Output Coordinate System to the UTM zone covering your study area, or reproject the output before using it in Step 1.</w:t>
            </w:r>
          </w:p>
        </w:tc>
      </w:tr>
      <w:tr>
        <w:tc>
          <w:tcPr>
            <w:tcW w:type="dxa" w:w="2800"/>
          </w:tcPr>
          <w:p>
            <w:r>
              <w:rPr>
                <w:rFonts w:ascii="Arial" w:hAnsi="Arial"/>
                <w:sz w:val="20"/>
              </w:rPr>
              <w:t>Step 1: a supporting layer (DEM, Soil, Vegetation, Hydro, etc.) shows a CRS warning</w:t>
            </w:r>
          </w:p>
        </w:tc>
        <w:tc>
          <w:tcPr>
            <w:tcW w:type="dxa" w:w="2500"/>
          </w:tcPr>
          <w:p>
            <w:r>
              <w:rPr>
                <w:rFonts w:ascii="Arial" w:hAnsi="Arial"/>
                <w:sz w:val="20"/>
              </w:rPr>
              <w:t>The layer is in a Geographic CRS, or in a Projected CRS that differs from the Analysis Extent.</w:t>
            </w:r>
          </w:p>
        </w:tc>
        <w:tc>
          <w:tcPr>
            <w:tcW w:type="dxa" w:w="4060"/>
          </w:tcPr>
          <w:p>
            <w:r>
              <w:rPr>
                <w:rFonts w:ascii="Arial" w:hAnsi="Arial"/>
                <w:sz w:val="20"/>
              </w:rPr>
              <w:t>Reproject the flagged layer to match the Analysis Extent's Projected CRS (Data → Export Features).</w:t>
            </w:r>
          </w:p>
        </w:tc>
      </w:tr>
      <w:tr>
        <w:tc>
          <w:tcPr>
            <w:tcW w:type="dxa" w:w="2800"/>
          </w:tcPr>
          <w:p>
            <w:r>
              <w:rPr>
                <w:rFonts w:ascii="Arial" w:hAnsi="Arial"/>
                <w:sz w:val="20"/>
              </w:rPr>
              <w:t>Step 3: “Speed Surface FC uses a Geographic CRS” warning</w:t>
            </w:r>
          </w:p>
        </w:tc>
        <w:tc>
          <w:tcPr>
            <w:tcW w:type="dxa" w:w="2500"/>
          </w:tcPr>
          <w:p>
            <w:r>
              <w:rPr>
                <w:rFonts w:ascii="Arial" w:hAnsi="Arial"/>
                <w:sz w:val="20"/>
              </w:rPr>
              <w:t>Speed Surface FC was manually pointed at a feature class instead of using the Step 1/2 auto-fill.</w:t>
            </w:r>
          </w:p>
        </w:tc>
        <w:tc>
          <w:tcPr>
            <w:tcW w:type="dxa" w:w="4060"/>
          </w:tcPr>
          <w:p>
            <w:r>
              <w:rPr>
                <w:rFonts w:ascii="Arial" w:hAnsi="Arial"/>
                <w:sz w:val="20"/>
              </w:rPr>
              <w:t>Use the Speed Surface produced by Step 2, or reproject the substitute FC to match your project's Projected CRS.</w:t>
            </w:r>
          </w:p>
        </w:tc>
      </w:tr>
      <w:tr>
        <w:tc>
          <w:tcPr>
            <w:tcW w:type="dxa" w:w="2800"/>
          </w:tcPr>
          <w:p>
            <w:r>
              <w:rPr>
                <w:rFonts w:ascii="Arial" w:hAnsi="Arial"/>
                <w:sz w:val="20"/>
              </w:rPr>
              <w:t>Step 4: “…uses a different coordinate system than Vehicle A…” warning</w:t>
            </w:r>
          </w:p>
        </w:tc>
        <w:tc>
          <w:tcPr>
            <w:tcW w:type="dxa" w:w="2500"/>
          </w:tcPr>
          <w:p>
            <w:r>
              <w:rPr>
                <w:rFonts w:ascii="Arial" w:hAnsi="Arial"/>
                <w:sz w:val="20"/>
              </w:rPr>
              <w:t>The two Speed Surface feature classes being compared were generated with different Projected CRSs.</w:t>
            </w:r>
          </w:p>
        </w:tc>
        <w:tc>
          <w:tcPr>
            <w:tcW w:type="dxa" w:w="4060"/>
          </w:tcPr>
          <w:p>
            <w:r>
              <w:rPr>
                <w:rFonts w:ascii="Arial" w:hAnsi="Arial"/>
                <w:sz w:val="20"/>
              </w:rPr>
              <w:t>Regenerate both speed surfaces from the same Step 1 project (same Analysis Extent / CRS), or reproject one to match the other.</w:t>
            </w:r>
          </w:p>
        </w:tc>
      </w:tr>
      <w:tr>
        <w:tc>
          <w:tcPr>
            <w:tcW w:type="dxa" w:w="2800"/>
          </w:tcPr>
          <w:p>
            <w:r>
              <w:rPr>
                <w:rFonts w:ascii="Arial" w:hAnsi="Arial"/>
                <w:sz w:val="20"/>
              </w:rPr>
              <w:t>Step 2 fails with “ERROR 000384: Cannot have more than 2 inputs with a Basic or Standard license”</w:t>
            </w:r>
          </w:p>
        </w:tc>
        <w:tc>
          <w:tcPr>
            <w:tcW w:type="dxa" w:w="2500"/>
          </w:tcPr>
          <w:p>
            <w:r>
              <w:rPr>
                <w:rFonts w:ascii="Arial" w:hAnsi="Arial"/>
                <w:sz w:val="20"/>
              </w:rPr>
              <w:t>Your ArcGIS Pro license level is Basic or Standard (not Advanced), and the underlying Union tool is limited to two inputs at that level.</w:t>
            </w:r>
          </w:p>
        </w:tc>
        <w:tc>
          <w:tcPr>
            <w:tcW w:type="dxa" w:w="4060"/>
          </w:tcPr>
          <w:p>
            <w:r>
              <w:rPr>
                <w:rFonts w:ascii="Arial" w:hAnsi="Arial"/>
                <w:sz w:val="20"/>
              </w:rPr>
              <w:t>Fixed in v0.54.4 — Step 2 now unions its criteria layers two at a time automatically, which works on every license level. Update to v0.54.4 or later; no configuration change is needed.</w:t>
            </w:r>
          </w:p>
        </w:tc>
      </w:tr>
      <w:tr>
        <w:tc>
          <w:tcPr>
            <w:tcW w:type="dxa" w:w="2800"/>
          </w:tcPr>
          <w:p>
            <w:r>
              <w:rPr>
                <w:rFonts w:ascii="Arial" w:hAnsi="Arial"/>
                <w:sz w:val="20"/>
              </w:rPr>
              <w:t>Reachability Map log shows “falling back to the vector method”</w:t>
            </w:r>
          </w:p>
        </w:tc>
        <w:tc>
          <w:tcPr>
            <w:tcW w:type="dxa" w:w="2500"/>
          </w:tcPr>
          <w:p>
            <w:r>
              <w:rPr>
                <w:rFonts w:ascii="Arial" w:hAnsi="Arial"/>
                <w:sz w:val="20"/>
              </w:rPr>
              <w:t>The Spatial Analyst (raster) method hit an intermittent ArcGIS Pro issue (“ERROR 160333”), most often on small analysis areas. It is not related to your data or configuration.</w:t>
            </w:r>
          </w:p>
        </w:tc>
        <w:tc>
          <w:tcPr>
            <w:tcW w:type="dxa" w:w="4060"/>
          </w:tcPr>
          <w:p>
            <w:r>
              <w:rPr>
                <w:rFonts w:ascii="Arial" w:hAnsi="Arial"/>
                <w:sz w:val="20"/>
              </w:rPr>
              <w:t>Handled automatically as of v0.54.6 — the tool falls back to its vector-based method and still produces a usable Reachability Map. This result is slightly less precise (time bands follow polygon edges rather than raster cells) but no action is needed.</w:t>
            </w:r>
          </w:p>
        </w:tc>
      </w:tr>
    </w:tbl>
    <w:p>
      <w:pPr>
        <w:spacing w:after="80" w:before="80"/>
      </w:pPr>
      <w:r/>
    </w:p>
    <w:p>
      <w:pPr>
        <w:pStyle w:val="Heading2"/>
        <w:spacing w:after="100" w:before="280"/>
      </w:pPr>
      <w:r>
        <w:rPr>
          <w:rFonts w:ascii="Arial" w:cs="Arial" w:eastAsia="Arial" w:hAnsi="Arial"/>
          <w:b/>
          <w:bCs/>
          <w:color w:val="2E75B6"/>
          <w:sz w:val="28"/>
          <w:szCs w:val="28"/>
        </w:rPr>
        <w:t>9.2  Performance Tips</w:t>
      </w:r>
    </w:p>
    <w:p>
      <w:pPr>
        <w:pStyle w:val="ListParagraph"/>
        <w:numPr>
          <w:ilvl w:val="0"/>
          <w:numId w:val="2"/>
        </w:numPr>
        <w:spacing w:after="40" w:before="40"/>
      </w:pPr>
      <w:r>
        <w:rPr>
          <w:rFonts w:ascii="Arial" w:cs="Arial" w:eastAsia="Arial" w:hAnsi="Arial"/>
          <w:sz w:val="22"/>
          <w:szCs w:val="22"/>
        </w:rPr>
        <w:t>Use ArcGIS Pro 3.5 or newer to benefit from DistanceAccumulation (up to 50× faster isochrone computation).</w:t>
      </w:r>
    </w:p>
    <w:p>
      <w:pPr>
        <w:pStyle w:val="ListParagraph"/>
        <w:numPr>
          <w:ilvl w:val="0"/>
          <w:numId w:val="2"/>
        </w:numPr>
        <w:spacing w:after="40" w:before="40"/>
      </w:pPr>
      <w:r>
        <w:rPr>
          <w:rFonts w:ascii="Arial" w:cs="Arial" w:eastAsia="Arial" w:hAnsi="Arial"/>
          <w:sz w:val="22"/>
          <w:szCs w:val="22"/>
        </w:rPr>
        <w:t>Clip all rasters to your AOI before input, especially SoilGrids global tiles. Large rasters slow every processing step.</w:t>
      </w:r>
    </w:p>
    <w:p>
      <w:pPr>
        <w:pStyle w:val="ListParagraph"/>
        <w:numPr>
          <w:ilvl w:val="0"/>
          <w:numId w:val="2"/>
        </w:numPr>
        <w:spacing w:after="40" w:before="40"/>
      </w:pPr>
      <w:r>
        <w:rPr>
          <w:rFonts w:ascii="Arial" w:cs="Arial" w:eastAsia="Arial" w:hAnsi="Arial"/>
          <w:sz w:val="22"/>
          <w:szCs w:val="22"/>
        </w:rPr>
        <w:t>For iterative testing, use Pre-processed Soil FC and Pre-processed Vegetation FC in Step 1 to skip re-processing on subsequent runs.</w:t>
      </w:r>
    </w:p>
    <w:p>
      <w:pPr>
        <w:pStyle w:val="ListParagraph"/>
        <w:numPr>
          <w:ilvl w:val="0"/>
          <w:numId w:val="2"/>
        </w:numPr>
        <w:spacing w:after="40" w:before="40"/>
      </w:pPr>
      <w:r>
        <w:rPr>
          <w:rFonts w:ascii="Arial" w:cs="Arial" w:eastAsia="Arial" w:hAnsi="Arial"/>
          <w:sz w:val="22"/>
          <w:szCs w:val="22"/>
        </w:rPr>
        <w:t>Use 0–5 cm depth for SoilGrids during testing; switch to Weighted 0–30 cm for final analysis.</w:t>
      </w:r>
    </w:p>
    <w:p>
      <w:pPr>
        <w:pStyle w:val="ListParagraph"/>
        <w:numPr>
          <w:ilvl w:val="0"/>
          <w:numId w:val="2"/>
        </w:numPr>
        <w:spacing w:after="40" w:before="40"/>
      </w:pPr>
      <w:r>
        <w:rPr>
          <w:rFonts w:ascii="Arial" w:cs="Arial" w:eastAsia="Arial" w:hAnsi="Arial"/>
          <w:sz w:val="22"/>
          <w:szCs w:val="22"/>
        </w:rPr>
        <w:t>The project GDB can accumulate intermediate data over time. Delete unused layers from 03_Project.gdb periodically to reclaim disk space.</w:t>
      </w:r>
    </w:p>
    <w:p>
      <w:pPr>
        <w:spacing w:after="80" w:before="80"/>
      </w:pPr>
      <w:r/>
    </w:p>
    <w:p>
      <w:pPr>
        <w:pStyle w:val="Heading2"/>
        <w:spacing w:after="100" w:before="280"/>
      </w:pPr>
      <w:r>
        <w:rPr>
          <w:rFonts w:ascii="Arial" w:cs="Arial" w:eastAsia="Arial" w:hAnsi="Arial"/>
          <w:b/>
          <w:bCs/>
          <w:color w:val="2E75B6"/>
          <w:sz w:val="28"/>
          <w:szCs w:val="28"/>
        </w:rPr>
        <w:t>9.3  Log Messages</w:t>
      </w:r>
    </w:p>
    <w:p>
      <w:pPr>
        <w:spacing w:after="60" w:before="60"/>
      </w:pPr>
      <w:r>
        <w:rPr>
          <w:rFonts w:ascii="Arial" w:cs="Arial" w:eastAsia="Arial" w:hAnsi="Arial"/>
          <w:sz w:val="22"/>
          <w:szCs w:val="22"/>
        </w:rPr>
        <w:t>All tool messages appear in the ArcGIS Pro Geoprocessing Messages pane. Messages are prefixed with the tool name for easy filtering:</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Prefix</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Source Tool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[Step 1]</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Project Setup &amp; Pre-process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 Soil Preprocess]</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 preprocessing module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 Veg Preprocess]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Vegetation preprocessing module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[Step 3]</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Advanced Analysis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 Obstacles]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Obstacle detection module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 Isochrone]</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Isochrone / reachability module</w:t>
            </w:r>
          </w:p>
        </w:tc>
      </w:tr>
    </w:tbl>
    <w:p>
      <w:r/>
    </w:p>
    <w:p>
      <w:pPr>
        <w:pStyle w:val="Heading1"/>
        <w:pBdr>
          <w:bottom w:val="single" w:color="2E75B6" w:sz="6" w:space="4"/>
        </w:pBdr>
        <w:spacing w:after="120" w:before="360"/>
      </w:pPr>
      <w:r>
        <w:rPr>
          <w:rFonts w:ascii="Arial" w:cs="Arial" w:eastAsia="Arial" w:hAnsi="Arial"/>
          <w:b/>
          <w:bCs/>
          <w:color w:val="1F3864"/>
          <w:sz w:val="32"/>
          <w:szCs w:val="32"/>
        </w:rPr>
        <w:t>10.  Technical Reference (GIS Analysts)</w:t>
      </w:r>
    </w:p>
    <w:p>
      <w:pPr>
        <w:pStyle w:val="Heading2"/>
        <w:spacing w:after="100" w:before="280"/>
      </w:pPr>
      <w:r>
        <w:rPr>
          <w:rFonts w:ascii="Arial" w:cs="Arial" w:eastAsia="Arial" w:hAnsi="Arial"/>
          <w:b/>
          <w:bCs/>
          <w:color w:val="2E75B6"/>
          <w:sz w:val="28"/>
          <w:szCs w:val="28"/>
        </w:rPr>
        <w:t>10.1  Module Architecture</w:t>
      </w:r>
    </w:p>
    <w:p>
      <w:pPr>
        <w:spacing w:after="60" w:before="60"/>
      </w:pPr>
      <w:r>
        <w:rPr>
          <w:rFonts w:ascii="Arial" w:cs="Arial" w:eastAsia="Arial" w:hAnsi="Arial"/>
          <w:sz w:val="22"/>
          <w:szCs w:val="22"/>
        </w:rPr>
        <w:t>The toolbox is composed of a master .pyt file and thirteen Python companion modules. Each module is independently importable for scripting workflows outside ArcGIS Pro. If a module fails to import, the toolbox registers a visible stub tool labelled “[UNAVAILABLE — failed to load]” that reports the import error, instead of silently dropping the tool. Two data files ship alongside the modules: Vehicles_Can.csv (vehicle definitions) and soil_rci.csv (calibratable USCS→RCI table loaded by Step 2; see Section 7.3). The tests folder includes arcpy_smoke_test.py, a self-contained end-to-end Step 2 validation that runs from the ArcGIS Pro Python window or the arcgispro-py3 prompt: it synthesises a miniature project, runs build_speed_surface() with and without a rainfall override, and asserts the output contract before printing a verdict and an inspectable scratch GDB path.</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Module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CCM_Tool_v0.60.10.pyt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ArcGIS Pro Python Toolbox entry point. Registers all three Step tools.</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ccm_step1_setup.py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Step 1 tool class. Orchestrates soil and vegetation pre-processing and writes ccm_project.json.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ccm_step2_mobility.py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Step 2 tool class and mobility engine. Computes the F-factors per polygon using the min-of-factors model (v0.49 NG-NRMM doctrine), produces the speed surface FC, and registers it in ccm_project.json. Outputs area-weighted Speed Made Good (SMG) summary. Optional: spatial soil moisture (3×3 Open-Meteo grid), stochastic P(GO) Monte Carlo field, MMP metric logging. Loads calibrated RCI table from soil_rci.csv. Pure-Python trafficability math (unit-testable without arcpy).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ccm_step3_advanced.py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Step 3 tool class. Dispatches to five sub-analysis modules based on checkbox selections.</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ccm_soil_preprocess.py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 pre-processing engine. Handles all six source databases, USCS classification, and gap-filling.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ccm_veg_preprocess.py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Vegetation pre-processing engine. Handles all six source types; derives VTI, treeSpacing, stemDiameter.</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ccm_reason_map.py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Adds NO_GO_REASON and RESTRICT_CODE fields to the speed surface FC.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ccm_isochrone.py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Generates isochrone polygons using DistanceAccumulation (Pro 3.5+) or CostDistance (legacy).</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ccm_vehicle_compare.py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Overlays two speed surfaces to produce a COMPARE_RESULT polygon layer.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ccm_obstacle_detect.py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Detects slope breaks, hydro gaps, and linear barriers using NumPy-vectorised processing.</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ccm_waypoints.py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Dijkstra-based route finder with No-Go snap fallback.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ccm_weather.py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Queries NOAA METAR / Open-Meteo and returns rainfall-adjusted RCI penalties. v0.49: adds get_spatial_soil_moisture() (3×3 grid VWC queries) and moisture_vwc_to_condition() for per-polygon moisture assignment.</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ccm_coords.py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Coordinate conversion engine: MGRS ↔ DD ↔ DMS ↔ DDM ↔ UTM.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ccm_project_config.py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Reads and writes ccm_project.json; provides the run_tool helper for invoking sub-tools by parameter name.</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ccm_soil_validator.py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Validates soilType field content; reports and corrects invalid USCS codes.</w:t>
            </w:r>
          </w:p>
        </w:tc>
      </w:tr>
      <w:tr>
        <w:tc>
          <w:tcPr>
            <w:tcW w:type="dxa" w:w="2800"/>
          </w:tcPr>
          <w:p>
            <w:r>
              <w:t>ccm_step0b_intelligence.py</w:t>
            </w:r>
          </w:p>
        </w:tc>
        <w:tc>
          <w:tcPr>
            <w:tcW w:type="dxa" w:w="6560"/>
          </w:tcPr>
          <w:p>
            <w:r>
              <w:t>Step 0b Data Intelligence Scan tool class and standalone CLI. Writes factual catalog/report outputs and additive project hand-off keys.</w:t>
            </w:r>
          </w:p>
        </w:tc>
      </w:tr>
    </w:tbl>
    <w:p>
      <w:pPr>
        <w:spacing w:after="80" w:before="80"/>
      </w:pPr>
      <w:r/>
    </w:p>
    <w:p>
      <w:pPr>
        <w:pStyle w:val="Heading2"/>
        <w:spacing w:after="100" w:before="280"/>
      </w:pPr>
      <w:r>
        <w:rPr>
          <w:rFonts w:ascii="Arial" w:cs="Arial" w:eastAsia="Arial" w:hAnsi="Arial"/>
          <w:b/>
          <w:bCs/>
          <w:color w:val="2E75B6"/>
          <w:sz w:val="28"/>
          <w:szCs w:val="28"/>
        </w:rPr>
        <w:t>10.2  VCI → Soil Factor Derivation</w:t>
      </w:r>
    </w:p>
    <w:p>
      <w:pPr>
        <w:spacing w:after="60" w:before="60"/>
      </w:pPr>
      <w:r>
        <w:rPr>
          <w:rFonts w:ascii="Arial" w:cs="Arial" w:eastAsia="Arial" w:hAnsi="Arial"/>
          <w:sz w:val="22"/>
          <w:szCs w:val="22"/>
        </w:rPr>
        <w:t>The soil trafficability factor (F_soil) is derived from the Vehicle Cone Index (VCI) requirements of each vehicle against the Rating Cone Index (RCI) of each soil polygon. Since v0.49 the soil moisture condition selects the appropriate RCI column (dry / moist / wet) rather than collapsing moist onto wet. The relationship follows:</w:t>
      </w:r>
    </w:p>
    <w:p>
      <w:pPr>
        <w:spacing w:after="80" w:before="80"/>
      </w:pPr>
      <w:r/>
    </w:p>
    <w:p>
      <w:pPr>
        <w:spacing w:after="80" w:before="80"/>
        <w:jc w:val="center"/>
      </w:pPr>
      <w:r>
        <w:rPr>
          <w:rFonts w:ascii="Courier New" w:cs="Courier New" w:eastAsia="Courier New" w:hAnsi="Courier New"/>
          <w:color w:val="1F3864"/>
          <w:sz w:val="20"/>
          <w:szCs w:val="20"/>
        </w:rPr>
        <w:t>F_soil = 0 if RCI &lt; VCI_1;  F_soil = 1 if RCI ≥ VCI_50;  otherwise F_soil = (RCI − VCI_1) / (VCI_50 − VCI_1)</w:t>
      </w:r>
    </w:p>
    <w:p>
      <w:pPr>
        <w:spacing w:after="60" w:before="60"/>
      </w:pPr>
      <w:r>
        <w:rPr>
          <w:rFonts w:ascii="Arial" w:cs="Arial" w:eastAsia="Arial" w:hAnsi="Arial"/>
          <w:sz w:val="22"/>
          <w:szCs w:val="22"/>
        </w:rPr>
        <w:t>If RCI ≥ VCI_required, the soil is trafficable (F = 1.0). If RCI &lt; VCI_required, the factor is proportionally reduced. If RCI &lt; VCI_1 (single-pass requirement), F = 0 (No Go).</w:t>
      </w:r>
    </w:p>
    <w:p>
      <w:pPr>
        <w:spacing w:after="80" w:before="80"/>
      </w:pPr>
      <w:r/>
    </w:p>
    <w:p>
      <w:pPr>
        <w:pStyle w:val="Heading2"/>
        <w:spacing w:after="100" w:before="280"/>
      </w:pPr>
      <w:r>
        <w:rPr>
          <w:rFonts w:ascii="Arial" w:cs="Arial" w:eastAsia="Arial" w:hAnsi="Arial"/>
          <w:b/>
          <w:bCs/>
          <w:color w:val="2E75B6"/>
          <w:sz w:val="28"/>
          <w:szCs w:val="28"/>
        </w:rPr>
        <w:t>10.3  Vegetation Factor Derivation</w:t>
      </w:r>
    </w:p>
    <w:p>
      <w:pPr>
        <w:spacing w:after="60" w:before="60"/>
      </w:pPr>
      <w:r>
        <w:rPr>
          <w:rFonts w:ascii="Arial" w:cs="Arial" w:eastAsia="Arial" w:hAnsi="Arial"/>
          <w:sz w:val="22"/>
          <w:szCs w:val="22"/>
        </w:rPr>
        <w:t>F2 is derived directly from the VTI (Vegetation Traffic Impact) value of each polygon: F2 = 1 − VTI. VTI = 0 means no impedance (open ground); VTI = 1 means impassable vegetation.</w:t>
      </w:r>
    </w:p>
    <w:p>
      <w:pPr>
        <w:spacing w:after="80" w:before="80"/>
      </w:pPr>
      <w:r/>
    </w:p>
    <w:p>
      <w:pPr>
        <w:spacing w:after="60" w:before="60"/>
      </w:pPr>
      <w:r>
        <w:rPr>
          <w:rFonts w:ascii="Arial" w:cs="Arial" w:eastAsia="Arial" w:hAnsi="Arial"/>
          <w:sz w:val="22"/>
          <w:szCs w:val="22"/>
        </w:rPr>
        <w:t>F3 accounts for tree spacing and stem diameter relative to vehicle width. If treeSpacing ≤ vehicle_width or stemDiameter ≥ max_override_diameter, F3 is reduced or set to 0.</w:t>
      </w:r>
    </w:p>
    <w:p>
      <w:pPr>
        <w:spacing w:after="80" w:before="80"/>
      </w:pPr>
      <w:r/>
    </w:p>
    <w:p>
      <w:pPr>
        <w:pStyle w:val="Heading2"/>
        <w:spacing w:after="100" w:before="280"/>
      </w:pPr>
      <w:r>
        <w:rPr>
          <w:rFonts w:ascii="Arial" w:cs="Arial" w:eastAsia="Arial" w:hAnsi="Arial"/>
          <w:b/>
          <w:bCs/>
          <w:color w:val="2E75B6"/>
          <w:sz w:val="28"/>
          <w:szCs w:val="28"/>
        </w:rPr>
        <w:t>10.4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Version</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Date</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Key Changes</w:t>
            </w:r>
          </w:p>
        </w:tc>
      </w:tr>
      <w:tr>
        <w:tc>
          <w:tcPr>
            <w:tcW w:type="dxa" w:w="1200"/>
          </w:tcPr>
          <w:p>
            <w:r>
              <w:t>0.60.10</w:t>
            </w:r>
          </w:p>
        </w:tc>
        <w:tc>
          <w:tcPr>
            <w:tcW w:type="dxa" w:w="1400"/>
          </w:tcPr>
          <w:p>
            <w:r>
              <w:t>September 2026</w:t>
            </w:r>
          </w:p>
        </w:tc>
        <w:tc>
          <w:tcPr>
            <w:tcW w:type="dxa" w:w="6760"/>
          </w:tcPr>
          <w:p>
            <w:r>
              <w:t>First packaged release of the v0.60.0 single-root rewrite. Added test_single_root_pure_python.py (45 checks, no arcpy) and tests/arcpy_smoke_test_v060_single_root.py (26 checks, licensed ArcGIS Pro -- the first test to drive updateParameters()/updateMessages() without execute()); found and fixed three regressions the v0.60.0 rename introduced, and a two-layer cmd.exe batch-parser bug in RUN_ARCGIS_SMOKE_TEST.bat (parentheses in %ProgramFiles(x86)%, in both its name and its expanded value). Confirmed against a real ArcGIS Pro install: all 7 licensed smoke tests pass. Closed the per-tool .pyt.xml sidecar rename gap; rewrote README, Quick Start, and this manual for the single-root architecture.</w:t>
            </w:r>
          </w:p>
        </w:tc>
      </w:tr>
      <w:tr>
        <w:tc>
          <w:tcPr>
            <w:tcW w:type="dxa" w:w="1200"/>
          </w:tcPr>
          <w:p>
            <w:r>
              <w:t>0.60.0</w:t>
            </w:r>
          </w:p>
        </w:tc>
        <w:tc>
          <w:tcPr>
            <w:tcW w:type="dxa" w:w="1400"/>
          </w:tcPr>
          <w:p>
            <w:r>
              <w:t>September 2026</w:t>
            </w:r>
          </w:p>
        </w:tc>
        <w:tc>
          <w:tcPr>
            <w:tcW w:type="dxa" w:w="6760"/>
          </w:tcPr>
          <w:p>
            <w:r>
              <w:t>Single-root project architecture. Every step (0, 0b, 1, 2, 3) now takes one Project Root Folder instead of a separate folder parameter per step; Step 0/0b auto-create 01_Input_Data\, 02_Scan_Index\, 03_Project.gdb, and ccm_project.json as soon as a valid root is set. New standalone Project Initializer GUI (ccm_project_init.py, no arcpy needed). Fixed Step 2's Vehicle dropdown coming up empty when pointed at a Step 0b scan folder -- it now falls back to the bundled vehicle list with a warning, and a genuine Step 0b-only folder gets an explicit error naming the mismatch.</w:t>
            </w:r>
          </w:p>
        </w:tc>
      </w:tr>
      <w:tr>
        <w:tc>
          <w:tcPr>
            <w:tcW w:type="dxa" w:w="1200"/>
          </w:tcPr>
          <w:p>
            <w:r>
              <w:t>0.57</w:t>
            </w:r>
          </w:p>
        </w:tc>
        <w:tc>
          <w:tcPr>
            <w:tcW w:type="dxa" w:w="1400"/>
          </w:tcPr>
          <w:p>
            <w:r>
              <w:t>August 2026</w:t>
            </w:r>
          </w:p>
        </w:tc>
        <w:tc>
          <w:tcPr>
            <w:tcW w:type="dxa" w:w="6760"/>
          </w:tcPr>
          <w:p>
            <w:r>
              <w:t>Integrated the validated Data Intelligence Step 0b engine into the v0.55 toolbox; added logged Anaconda/ArcPy verification, updated project hand-off, and refreshed the English manual and Quick Start.</w:t>
            </w:r>
          </w:p>
        </w:tc>
      </w:tr>
      <w:tr>
        <w:tc>
          <w:tcPr>
            <w:tcW w:type="dxa" w:w="1200"/>
          </w:tcPr>
          <w:p>
            <w:r>
              <w:t>0.55.0</w:t>
            </w:r>
          </w:p>
        </w:tc>
        <w:tc>
          <w:tcPr>
            <w:tcW w:type="dxa" w:w="1400"/>
          </w:tcPr>
          <w:p>
            <w:r>
              <w:t>August 2026</w:t>
            </w:r>
          </w:p>
        </w:tc>
        <w:tc>
          <w:tcPr>
            <w:tcW w:type="dxa" w:w="6760"/>
          </w:tcPr>
          <w:p>
            <w:r>
              <w:t>Consolidation release. This project had diverged across two machines past v0.54.1: one copy had a naming and licensing cleanup applied but was missing every fix from v0.54.2 onward; the other had all those fixes (including the critical v0.54.4 licence-limit fix and the v0.54.2 speed-surface symbology fix) but the cleanup had not yet reached it. v0.55.0 merges them: the fixed codebase, confirmed file-by-file, with the clean naming and licensing applied on top. No functional / geoprocessing behaviour changed beyond what v0.54.2–v0.54.7 already shipped. See CHANGELOG_v0.57.md for the full reconciliation record.</w:t>
            </w:r>
          </w:p>
        </w:tc>
      </w:tr>
      <w:tr>
        <w:tc>
          <w:tcPr>
            <w:tcW w:type="dxa" w:w="1200"/>
          </w:tcPr>
          <w:p>
            <w:r>
              <w:rPr>
                <w:rFonts w:ascii="Arial" w:hAnsi="Arial"/>
                <w:b w:val="0"/>
                <w:sz w:val="20"/>
              </w:rPr>
              <w:t>0.54.7</w:t>
            </w:r>
          </w:p>
        </w:tc>
        <w:tc>
          <w:tcPr>
            <w:tcW w:type="dxa" w:w="1400"/>
          </w:tcPr>
          <w:p>
            <w:r>
              <w:rPr>
                <w:rFonts w:ascii="Arial" w:hAnsi="Arial"/>
                <w:b w:val="0"/>
                <w:sz w:val="20"/>
              </w:rPr>
              <w:t>July 2026</w:t>
            </w:r>
          </w:p>
        </w:tc>
        <w:tc>
          <w:tcPr>
            <w:tcW w:type="dxa" w:w="6760"/>
          </w:tcPr>
          <w:p>
            <w:r>
              <w:rPr>
                <w:rFonts w:ascii="Arial" w:hAnsi="Arial"/>
                <w:b w:val="0"/>
                <w:sz w:val="20"/>
              </w:rPr>
              <w:t>Internal fix only — no change to how the tool behaves. A check in the developer test suite was reporting the wrong method name when the Reachability Map used its automatic vector-based fallback (introduced in 0.54.6, see row below). Corrected so the test suite reports accurately; this does not change the Reachability Map output itself.</w:t>
            </w:r>
          </w:p>
        </w:tc>
      </w:tr>
      <w:tr>
        <w:tc>
          <w:tcPr>
            <w:tcW w:type="dxa" w:w="1200"/>
          </w:tcPr>
          <w:p>
            <w:r>
              <w:rPr>
                <w:rFonts w:ascii="Arial" w:hAnsi="Arial"/>
                <w:b w:val="0"/>
                <w:sz w:val="20"/>
              </w:rPr>
              <w:t>0.54.6</w:t>
            </w:r>
          </w:p>
        </w:tc>
        <w:tc>
          <w:tcPr>
            <w:tcW w:type="dxa" w:w="1400"/>
          </w:tcPr>
          <w:p>
            <w:r>
              <w:rPr>
                <w:rFonts w:ascii="Arial" w:hAnsi="Arial"/>
                <w:b w:val="0"/>
                <w:sz w:val="20"/>
              </w:rPr>
              <w:t>July 2026</w:t>
            </w:r>
          </w:p>
        </w:tc>
        <w:tc>
          <w:tcPr>
            <w:tcW w:type="dxa" w:w="6760"/>
          </w:tcPr>
          <w:p>
            <w:r>
              <w:rPr>
                <w:rFonts w:ascii="Arial" w:hAnsi="Arial"/>
                <w:b w:val="0"/>
                <w:sz w:val="20"/>
              </w:rPr>
              <w:t>Follow-up to 0.54.5. Re-testing on a real ArcGIS Pro installation showed the previous fix's automatic retry did not always resolve the Reachability Map issue (“ERROR 160333”). The tool now also falls back to its vector-based method whenever the raster method cannot complete, so a Reachability Map is always produced; the log notes which method was used. No user action is needed either way.</w:t>
            </w:r>
          </w:p>
        </w:tc>
      </w:tr>
      <w:tr>
        <w:tc>
          <w:tcPr>
            <w:tcW w:type="dxa" w:w="1200"/>
          </w:tcPr>
          <w:p>
            <w:r>
              <w:rPr>
                <w:rFonts w:ascii="Arial" w:hAnsi="Arial"/>
                <w:b w:val="0"/>
                <w:sz w:val="20"/>
              </w:rPr>
              <w:t>0.54.5</w:t>
            </w:r>
          </w:p>
        </w:tc>
        <w:tc>
          <w:tcPr>
            <w:tcW w:type="dxa" w:w="1400"/>
          </w:tcPr>
          <w:p>
            <w:r>
              <w:rPr>
                <w:rFonts w:ascii="Arial" w:hAnsi="Arial"/>
                <w:b w:val="0"/>
                <w:sz w:val="20"/>
              </w:rPr>
              <w:t>July 2026</w:t>
            </w:r>
          </w:p>
        </w:tc>
        <w:tc>
          <w:tcPr>
            <w:tcW w:type="dxa" w:w="6760"/>
          </w:tcPr>
          <w:p>
            <w:r>
              <w:rPr>
                <w:rFonts w:ascii="Arial" w:hAnsi="Arial"/>
                <w:b w:val="0"/>
                <w:sz w:val="20"/>
              </w:rPr>
              <w:t>Fixed an intermittent Reachability Map (Isochrone) failure. On some runs, Step 3 could report “ERROR 160333: The table was not found” right after computing travel times, so no Isochrone output was produced for that run — the other four Step 3 analyses (Reason Map, Vehicle Comparison, Obstacle Detection, Waypoint Routing) were never affected. The tool now automatically retries once if this happens, which resolves it in the great majority of cases; no user action is needed.</w:t>
            </w:r>
          </w:p>
        </w:tc>
      </w:tr>
      <w:tr>
        <w:tc>
          <w:tcPr>
            <w:tcW w:type="dxa" w:w="1200"/>
          </w:tcPr>
          <w:p>
            <w:r>
              <w:rPr>
                <w:rFonts w:ascii="Arial" w:hAnsi="Arial"/>
                <w:b w:val="0"/>
                <w:sz w:val="20"/>
              </w:rPr>
              <w:t>0.54.4</w:t>
            </w:r>
          </w:p>
        </w:tc>
        <w:tc>
          <w:tcPr>
            <w:tcW w:type="dxa" w:w="1400"/>
          </w:tcPr>
          <w:p>
            <w:r>
              <w:rPr>
                <w:rFonts w:ascii="Arial" w:hAnsi="Arial"/>
                <w:b w:val="0"/>
                <w:sz w:val="20"/>
              </w:rPr>
              <w:t>July 2026</w:t>
            </w:r>
          </w:p>
        </w:tc>
        <w:tc>
          <w:tcPr>
            <w:tcW w:type="dxa" w:w="6760"/>
          </w:tcPr>
          <w:p>
            <w:r>
              <w:rPr>
                <w:rFonts w:ascii="Arial" w:hAnsi="Arial"/>
                <w:b w:val="0"/>
                <w:sz w:val="20"/>
              </w:rPr>
              <w:t>Fixed a licensing error that could stop Step 2 from completing entirely. On ArcGIS Pro Standard or Basic licenses (i.e., without the Advanced extension), generating the Mobility Map could fail with “ERROR 000384: Cannot have more than 2 inputs with a Basic or Standard license” whenever soil, vegetation, and slope data were all supplied — the normal case. Step 2 now combines these layers two at a time internally, which works identically on every ArcGIS Pro license level and produces the same Mobility Map either way. No user-facing steps change.</w:t>
            </w:r>
          </w:p>
        </w:tc>
      </w:tr>
      <w:tr>
        <w:tc>
          <w:tcPr>
            <w:tcW w:type="dxa" w:w="1200"/>
          </w:tcPr>
          <w:p>
            <w:r>
              <w:rPr>
                <w:rFonts w:ascii="Arial" w:hAnsi="Arial"/>
                <w:b w:val="0"/>
                <w:sz w:val="20"/>
              </w:rPr>
              <w:t>0.54.2 – 0.54.3</w:t>
            </w:r>
          </w:p>
        </w:tc>
        <w:tc>
          <w:tcPr>
            <w:tcW w:type="dxa" w:w="1400"/>
          </w:tcPr>
          <w:p>
            <w:r>
              <w:rPr>
                <w:rFonts w:ascii="Arial" w:hAnsi="Arial"/>
                <w:b w:val="0"/>
                <w:sz w:val="20"/>
              </w:rPr>
              <w:t>July 2026</w:t>
            </w:r>
          </w:p>
        </w:tc>
        <w:tc>
          <w:tcPr>
            <w:tcW w:type="dxa" w:w="6760"/>
          </w:tcPr>
          <w:p>
            <w:r>
              <w:rPr>
                <w:rFonts w:ascii="Arial" w:hAnsi="Arial"/>
                <w:b w:val="0"/>
                <w:sz w:val="20"/>
              </w:rPr>
              <w:t>Pre-release audit fixes, verified against ArcGIS Pro 3.7.1. The Speed Surface layer was being symbolised on a field the tool never creates; verification confirmed this produced a single flat colour with no warning, so mobility maps rebuilt by Step 3 were unreadable. It now uses the supplied Mobility symbology, matching what Step 2 produces, and the 55% transparency that lets the basemap show through is applied correctly. The map legend no longer lists four categories the tool cannot produce, and RESTRICTED is shown in amber for clearer contrast against GO. Layer names in the Contents pane read “Speed Surface — Leopard” instead of the raw feature-class name. The download package no longer contains obsolete toolboxes or superseded manuals from earlier versions.</w:t>
            </w:r>
          </w:p>
        </w:tc>
      </w:tr>
      <w:tr>
        <w:tc>
          <w:tcPr>
            <w:tcW w:type="dxa" w:w="1200"/>
          </w:tcPr>
          <w:p>
            <w:r>
              <w:rPr>
                <w:rFonts w:ascii="Arial" w:hAnsi="Arial"/>
                <w:b w:val="0"/>
                <w:sz w:val="20"/>
              </w:rPr>
              <w:t>0.54.1</w:t>
            </w:r>
          </w:p>
        </w:tc>
        <w:tc>
          <w:tcPr>
            <w:tcW w:type="dxa" w:w="1400"/>
          </w:tcPr>
          <w:p>
            <w:r>
              <w:rPr>
                <w:rFonts w:ascii="Arial" w:hAnsi="Arial"/>
                <w:b w:val="0"/>
                <w:sz w:val="20"/>
              </w:rPr>
              <w:t>July 2026</w:t>
            </w:r>
          </w:p>
        </w:tc>
        <w:tc>
          <w:tcPr>
            <w:tcW w:type="dxa" w:w="6760"/>
          </w:tcPr>
          <w:p>
            <w:r>
              <w:t>Rename: toolbox product name renamed and standardized throughout (toolbox, source modules, tests, and all documentation, including historical changelogs); toolbox and manual filenames updated to the current CCM_Tool_v0.54.1 convention. Relicensed under SPDX-License-Identifier: GPL-2.0-or-later (previously “All Rights Reserved”); new copyright line: Copyright (c) 2026 Eui Soo SON. No functional / geoprocessing changes.</w:t>
            </w:r>
          </w:p>
        </w:tc>
      </w:tr>
      <w:tr>
        <w:tc>
          <w:tcPr>
            <w:tcW w:type="dxa" w:w="1200"/>
          </w:tcPr>
          <w:p>
            <w:r>
              <w:rPr>
                <w:rFonts w:ascii="Arial" w:hAnsi="Arial"/>
                <w:sz w:val="20"/>
              </w:rPr>
              <w:t>0.54.0</w:t>
            </w:r>
          </w:p>
        </w:tc>
        <w:tc>
          <w:tcPr>
            <w:tcW w:type="dxa" w:w="1400"/>
          </w:tcPr>
          <w:p>
            <w:r>
              <w:rPr>
                <w:rFonts w:ascii="Arial" w:hAnsi="Arial"/>
                <w:sz w:val="20"/>
              </w:rPr>
              <w:t>July 2026</w:t>
            </w:r>
          </w:p>
        </w:tc>
        <w:tc>
          <w:tcPr>
            <w:tcW w:type="dxa" w:w="6760"/>
          </w:tcPr>
          <w:p>
            <w:r>
              <w:rPr>
                <w:rFonts w:ascii="Arial" w:hAnsi="Arial"/>
                <w:sz w:val="20"/>
              </w:rPr>
              <w:t>Smart CRS/projection warnings extended from Step 1's Analysis Extent (blocking) to Step 0's Output Coordinate System, Step 1's supporting layers, Step 3's Speed Surface/obstacle layers, and Step 4's Vehicle A/B comparison (all non-blocking). New shared ccm_coords CRS-helper functions (5 new tests, 160 total). User Manual: new Section 3.4 explains why a Projected CRS/UTM is required, with per-step data/projection notes added throughout.</w:t>
            </w:r>
          </w:p>
        </w:tc>
      </w:tr>
      <w:tr>
        <w:tc>
          <w:tcPr>
            <w:tcW w:type="dxa" w:w="1200"/>
          </w:tcPr>
          <w:p>
            <w:r>
              <w:t>0.53.3</w:t>
            </w:r>
          </w:p>
        </w:tc>
        <w:tc>
          <w:tcPr>
            <w:tcW w:type="dxa" w:w="1400"/>
          </w:tcPr>
          <w:p>
            <w:r>
              <w:t>July 2026</w:t>
            </w:r>
          </w:p>
        </w:tc>
        <w:tc>
          <w:tcPr>
            <w:tcW w:type="dxa" w:w="6760"/>
          </w:tcPr>
          <w:p>
            <w:r>
              <w:t>Lint cleanup + copyright update. Source modules made pyflakes-clean (removed unused imports and dead local variables, fixed an invalid docstring escape and three placeholder-less f-strings) — no behavioural change, all 152 tests pass. Copyright headers reduced to “Eui Soo Son” only.</w:t>
            </w:r>
          </w:p>
        </w:tc>
      </w:tr>
      <w:tr>
        <w:tc>
          <w:tcPr>
            <w:tcW w:type="dxa" w:w="1200"/>
          </w:tcPr>
          <w:p>
            <w:r>
              <w:t>0.53.2</w:t>
            </w:r>
          </w:p>
        </w:tc>
        <w:tc>
          <w:tcPr>
            <w:tcW w:type="dxa" w:w="1400"/>
          </w:tcPr>
          <w:p>
            <w:r>
              <w:t>July 2026</w:t>
            </w:r>
          </w:p>
        </w:tc>
        <w:tc>
          <w:tcPr>
            <w:tcW w:type="dxa" w:w="6760"/>
          </w:tcPr>
          <w:p>
            <w:r>
              <w:t>Bug-fix patch. Restored the truncated CCMWaypointTool.execute() in ccm_waypoints.py, which extracted its parameters and loaded the vehicle CSV but never called find_route() — so Step 3 waypoint routing produced no route or points output. execute() now runs the routing engine; Step 3 only reports success and loads the layer when the route feature class exists. No other analysis behaviour changed.</w:t>
            </w:r>
          </w:p>
        </w:tc>
      </w:tr>
      <w:tr>
        <w:tc>
          <w:tcPr>
            <w:tcW w:type="dxa" w:w="1200"/>
          </w:tcPr>
          <w:p>
            <w:r>
              <w:t>0.53.1</w:t>
            </w:r>
          </w:p>
        </w:tc>
        <w:tc>
          <w:tcPr>
            <w:tcW w:type="dxa" w:w="1400"/>
          </w:tcPr>
          <w:p>
            <w:r>
              <w:t>July 2026</w:t>
            </w:r>
          </w:p>
        </w:tc>
        <w:tc>
          <w:tcPr>
            <w:tcW w:type="dxa" w:w="6760"/>
          </w:tcPr>
          <w:p>
            <w:r>
              <w:t>Repository-cleanup release; no change to CCM analysis behaviour. Removed the superseded standalone MGCP Data Loader toolbox (its batch-load logic is already integrated into Step 0), an orphaned toolbox sidecar, and older user-manual versions. Toolbox, sidecars and this manual renamed to v0.53.1.</w:t>
            </w:r>
          </w:p>
        </w:tc>
      </w:tr>
      <w:tr>
        <w:tc>
          <w:tcPr>
            <w:tcW w:type="dxa" w:w="1200"/>
          </w:tcPr>
          <w:p>
            <w:r>
              <w:t>0.53.0</w:t>
            </w:r>
          </w:p>
        </w:tc>
        <w:tc>
          <w:tcPr>
            <w:tcW w:type="dxa" w:w="1400"/>
          </w:tcPr>
          <w:p>
            <w:r>
              <w:t>July 2026</w:t>
            </w:r>
          </w:p>
        </w:tc>
        <w:tc>
          <w:tcPr>
            <w:tcW w:type="dxa" w:w="6760"/>
          </w:tcPr>
          <w:p>
            <w:r>
              <w:t>Expanded vehicle database. Vehicles_Can.csv grew from 13 to 64 platforms covering the Canadian (Leopard 2 family, LAV 6.0, ACSV, TAPV, Bison, Coyote, MSVS…), US (M1A2 SEPv3, Bradley, Paladin, AMPV, Stryker, JLTV, HIMARS…) and Russian (T-72B3/T-80U/T-90M/T-14, BMP/BMD, MT-LB, BTR, 2S-series, Grad…) fleets, with nation/source/note columns. Derived VCI/MMP figures kept internally consistent with the model constants. See section 5.2.</w:t>
            </w:r>
          </w:p>
        </w:tc>
      </w:tr>
      <w:tr>
        <w:tc>
          <w:tcPr>
            <w:tcW w:type="dxa" w:w="1200"/>
          </w:tcPr>
          <w:p>
            <w:r>
              <w:t>0.52.0</w:t>
            </w:r>
          </w:p>
        </w:tc>
        <w:tc>
          <w:tcPr>
            <w:tcW w:type="dxa" w:w="1400"/>
          </w:tcPr>
          <w:p>
            <w:r>
              <w:t>July 2026</w:t>
            </w:r>
          </w:p>
        </w:tc>
        <w:tc>
          <w:tcPr>
            <w:tcW w:type="dxa" w:w="6760"/>
          </w:tcPr>
          <w:p>
            <w:r>
              <w:t>One-folder Data Root. New ccm_data_discovery.py scanner; Data Root Folder parameter on Step 0 and Step 1 auto-fills every empty input from one parent folder (subfolder-name keywords + content sniffing), with accuracy ranking when duplicate soil/DEM/vegetation datasets exist (chosen source and alternatives reported). See section 2.6.</w:t>
            </w:r>
          </w:p>
        </w:tc>
      </w:tr>
      <w:tr>
        <w:tc>
          <w:tcPr>
            <w:tcW w:type="dxa" w:w="1200"/>
          </w:tcPr>
          <w:p>
            <w:r>
              <w:t>0.51.1</w:t>
            </w:r>
          </w:p>
        </w:tc>
        <w:tc>
          <w:tcPr>
            <w:tcW w:type="dxa" w:w="1400"/>
          </w:tcPr>
          <w:p>
            <w:r>
              <w:t>July 2026</w:t>
            </w:r>
          </w:p>
        </w:tc>
        <w:tc>
          <w:tcPr>
            <w:tcW w:type="dxa" w:w="6760"/>
          </w:tcPr>
          <w:p>
            <w:r>
              <w:t>Step 0 Unknown-CRS auto-repair: pre-run detection of shapefiles missing .prj, new Assume-WGS84 parameter (assigns EPSG:4326 to imported layers via Define Projection — label only, coordinates never moved), and SR-mismatch warnings that name the offending cells and distinguish repairable “Unknown” cases from genuine multi-CRS conflicts.</w:t>
            </w:r>
          </w:p>
        </w:tc>
      </w:tr>
      <w:tr>
        <w:tc>
          <w:tcPr>
            <w:tcW w:type="dxa" w:w="1200"/>
          </w:tcPr>
          <w:p>
            <w:r>
              <w:t>0.51.0</w:t>
            </w:r>
          </w:p>
        </w:tc>
        <w:tc>
          <w:tcPr>
            <w:tcW w:type="dxa" w:w="1400"/>
          </w:tcPr>
          <w:p>
            <w:r>
              <w:t>July 2026</w:t>
            </w:r>
          </w:p>
        </w:tc>
        <w:tc>
          <w:tcPr>
            <w:tcW w:type="dxa" w:w="6760"/>
          </w:tcPr>
          <w:p>
            <w:r>
              <w:t>Map display rework. New shared ccm_map_display.py module; one visual language for Step 3 outputs: the speed surface is the only filled layer (red reserved for No-Go), reachability rings are hollow blue→purple outlines with time labels, Vehicle Comparison shows only where the two vehicles differ (A-only teal / B-only orange, agreement hidden), obstacles are red 45° hatching, and each run nests under a “CCM — vehicle (moisture)” group layer with enforced draw order. 8 new unit tests (138 total).</w:t>
            </w:r>
          </w:p>
        </w:tc>
      </w:tr>
      <w:tr>
        <w:tc>
          <w:tcPr>
            <w:tcW w:type="dxa" w:w="1200"/>
          </w:tcPr>
          <w:p>
            <w:r>
              <w:t>0.50.2</w:t>
            </w:r>
          </w:p>
        </w:tc>
        <w:tc>
          <w:tcPr>
            <w:tcW w:type="dxa" w:w="1400"/>
          </w:tcPr>
          <w:p>
            <w:r>
              <w:t>July 2026</w:t>
            </w:r>
          </w:p>
        </w:tc>
        <w:tc>
          <w:tcPr>
            <w:tcW w:type="dxa" w:w="6760"/>
          </w:tcPr>
          <w:p>
            <w:r>
              <w:t>Truncation-recovery patch (critical). A full-file audit found ccm_step0_mgcp.py and ccm_step1_setup.py silently truncated by a failed write in an earlier session (both still parsed as valid Python, so syntax checks passed). Restored: the Step 0 import loop, mgcp_manifest.json writer, theme-grouped map layers and derived outputs; the Step 1 vegetation pre-processing, DEM→slope-regions derivation, hydrology parsing, save_config() call and completion banner. Reimplemented three missing Step 3 helpers (_list_speed_surfaces, _label_from_speed_fc, _derive_output_path) whose absence made every Step 3 sub-tool fail with NameError. All files now verified beyond the EOF marker.</w:t>
            </w:r>
          </w:p>
        </w:tc>
      </w:tr>
      <w:tr>
        <w:tc>
          <w:tcPr>
            <w:tcW w:type="dxa" w:w="1200"/>
          </w:tcPr>
          <w:p>
            <w:r>
              <w:t>0.50.1</w:t>
            </w:r>
          </w:p>
        </w:tc>
        <w:tc>
          <w:tcPr>
            <w:tcW w:type="dxa" w:w="1400"/>
          </w:tcPr>
          <w:p>
            <w:r>
              <w:t>July 2026</w:t>
            </w:r>
          </w:p>
        </w:tc>
        <w:tc>
          <w:tcPr>
            <w:tcW w:type="dxa" w:w="6760"/>
          </w:tcPr>
          <w:p>
            <w:r>
              <w:t>Consistency and repair patch. Full-repo version sweep (module VERSION constants, toolbox filename, sidecar XMLs, build.py, docs, test assertions); repaired NULL-block corruption in TASKS.md; build.py PY_FILES extended with ccm_mgcp_catalog.py and tests/test_v050.py.</w:t>
            </w:r>
          </w:p>
        </w:tc>
      </w:tr>
      <w:tr>
        <w:tc>
          <w:tcPr>
            <w:tcW w:type="dxa" w:w="1200"/>
          </w:tcPr>
          <w:p>
            <w:r>
              <w:t>0.50.0</w:t>
            </w:r>
          </w:p>
        </w:tc>
        <w:tc>
          <w:tcPr>
            <w:tcW w:type="dxa" w:w="1400"/>
          </w:tcPr>
          <w:p>
            <w:r>
              <w:t>July 2026</w:t>
            </w:r>
          </w:p>
        </w:tc>
        <w:tc>
          <w:tcPr>
            <w:tcW w:type="dxa" w:w="6760"/>
          </w:tcPr>
          <w:p>
            <w:r>
              <w:t>MGCP catalog and manifest release. New ccm_mgcp_catalog.py FACC/DIGEST dictionary (~140 codes: names, themes, CCM roles). Step 0: human-readable pick-list labels, theme filter with CCM-Relevant Only entry, group-by-theme map layers, mgcp_manifest.json written next to the output GDB. Step 1: new MGCP Manifest parameter auto-fills Soil / Hydrology / Contours from Step 0 output (user-overridable). Four bug fixes incl. save_config TypeError that prevented ccm_project.json from being written and hydro-layer list parsing (water not treated as NO-GO).</w:t>
            </w:r>
          </w:p>
        </w:tc>
      </w:tr>
      <w:tr>
        <w:tc>
          <w:tcPr>
            <w:tcW w:type="dxa" w:w="1200"/>
          </w:tcPr>
          <w:p>
            <w:r>
              <w:t>0.49</w:t>
            </w:r>
          </w:p>
        </w:tc>
        <w:tc>
          <w:tcPr>
            <w:tcW w:type="dxa" w:w="1400"/>
          </w:tcPr>
          <w:p>
            <w:r>
              <w:t>June 2026</w:t>
            </w:r>
          </w:p>
        </w:tc>
        <w:tc>
          <w:tcPr>
            <w:tcW w:type="dxa" w:w="6760"/>
          </w:tcPr>
          <w:p>
            <w:r>
              <w:t>NG-NRMM doctrinal upgrade. Speed Made Good (SMG) area-weighted CDF summary; speed model changed from multiplicative product to min-of-limiting-factors (NG-NRMM doctrine); Mean Maximum Pressure (MMP) metric added to completion summary and Vehicles_Can.csv; stochastic P(GO) field via Monte Carlo (opt-in, 200 trials default); spatial per-polygon soil moisture via Open-Meteo 3×3 grid (opt-in); soil_rci.csv calibrated to ERDC/GL TR-02-6 + FM 5-430-00-1 doctrinal values; 29 new unit tests (103 total).</w:t>
            </w:r>
          </w:p>
        </w:tc>
      </w:tr>
      <w:tr>
        <w:tc>
          <w:tcPr>
            <w:tcW w:type="dxa" w:w="1200"/>
          </w:tcPr>
          <w:p>
            <w:r>
              <w:t>0.48</w:t>
            </w:r>
          </w:p>
        </w:tc>
        <w:tc>
          <w:tcPr>
            <w:tcW w:type="dxa" w:w="1400"/>
          </w:tcPr>
          <w:p>
            <w:r>
              <w:t>June 2026</w:t>
            </w:r>
          </w:p>
        </w:tc>
        <w:tc>
          <w:tcPr>
            <w:tcW w:type="dxa" w:w="6760"/>
          </w:tcPr>
          <w:p>
            <w:r>
              <w:t>Correctness pass. Three-way soil moisture (moist condition now uses the moist RCI column, not the wet column); slope field name/units recorded at Step 1 and honoured by Step 2 (degree→percent conversion); antecedent scenario stamped on Reason Map (MOIST_SCEN field); integer isochrone band labels; several doc fixes.</w:t>
            </w:r>
          </w:p>
        </w:tc>
      </w:tr>
      <w:tr>
        <w:tc>
          <w:tcPr>
            <w:tcW w:type="dxa" w:w="1200"/>
          </w:tcPr>
          <w:p>
            <w:r>
              <w:t>0.46</w:t>
            </w:r>
          </w:p>
        </w:tc>
        <w:tc>
          <w:tcPr>
            <w:tcW w:type="dxa" w:w="1400"/>
          </w:tcPr>
          <w:p>
            <w:r>
              <w:t>June 2026</w:t>
            </w:r>
          </w:p>
        </w:tc>
        <w:tc>
          <w:tcPr>
            <w:tcW w:type="dxa" w:w="6760"/>
          </w:tcPr>
          <w:p>
            <w:r>
              <w:t>Resolved the three known limitations carried from v0.46. RCI table externalised to calibratable soil_rci.csv (built-in defaults remain as fallback); live weather wired into Step 2 via new Use Live Weather and Manual Rainfall Override (mm/hr) parameters with USCS→soil-sensitivity mapping; added tests/arcpy_smoke_test.py end-to-end validation for licensed arcpy installations; 9 new unit tests.</w:t>
            </w:r>
          </w:p>
        </w:tc>
      </w:tr>
      <w:tr>
        <w:tc>
          <w:tcPr>
            <w:tcW w:type="dxa" w:w="1200"/>
          </w:tcPr>
          <w:p>
            <w:r>
              <w:t>0.45</w:t>
            </w:r>
          </w:p>
        </w:tc>
        <w:tc>
          <w:tcPr>
            <w:tcW w:type="dxa" w:w="1400"/>
          </w:tcPr>
          <w:p>
            <w:r>
              <w:t>June 2026</w:t>
            </w:r>
          </w:p>
        </w:tc>
        <w:tc>
          <w:tcPr>
            <w:tcW w:type="dxa" w:w="6760"/>
          </w:tcPr>
          <w:p>
            <w:r>
              <w:t>Version re-baselined from 2.44 to 0.45. Rebuilt the missing Step 2 mobility engine (ccm_step2_mobility.py) producing the SpeedKMH / Mobility / F-factor speed surface and registering it in ccm_project.json; repaired truncated files (the v0.46 toolbox .pyt, ccm_step1_setup.py, ccm_project_config.py); added run_tool named-parameter sub-tool invocation; failed module imports now appear as visible stub tools; improved obstacle CSV header detection.</w:t>
            </w:r>
          </w:p>
        </w:tc>
      </w:tr>
      <w:tr>
        <w:tc>
          <w:tcPr>
            <w:tcW w:type="dxa" w:w="1200"/>
          </w:tcPr>
          <w:p>
            <w:r>
              <w:t>2.44</w:t>
            </w:r>
          </w:p>
        </w:tc>
        <w:tc>
          <w:tcPr>
            <w:tcW w:type="dxa" w:w="1400"/>
          </w:tcPr>
          <w:p>
            <w:r>
              <w:t>June 2026</w:t>
            </w:r>
          </w:p>
        </w:tc>
        <w:tc>
          <w:tcPr>
            <w:tcW w:type="dxa" w:w="6760"/>
          </w:tcPr>
          <w:p>
            <w:r>
              <w:t>Added DMTI Land Use (Canada) + keyword-based generic land-cover auto-discovery; broadened generic soil texture-field discovery; fixed _arcpy_msg logging fallback and ccm_coords cleanup typo; corrected toolbox version string to 2.44; hardened pytest suite (.pyt loader + arcpy stub).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2.42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July 2026</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Added arcpy.SetLogMetadata(False) to all execute() methods for GDB performance. Upgraded CostDistance to DistanceAccumulation in ccm_isochrone.py (Pro 3.5+, up to 50× faster). Vectorised _detect_hydro_gaps() and _detect_linear_barriers() with NumPy (50–100× faster on large datasets).</w:t>
            </w:r>
          </w:p>
        </w:tc>
      </w:tr>
      <w:tr>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2.41</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July 2026</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Bug fixes: print() on import failures replaced with arcpy.AddWarning(). VERSION constant added to all modules. Fixed SearchCursor token in ccm_isochrone. Fixed DD coordinate regex in ccm_coords.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2.40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2026</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Initial public release. Full three-step workflow. Six soil sources, six vegetation sources. Five Step 3 analyses.</w:t>
            </w:r>
          </w:p>
        </w:tc>
      </w:tr>
    </w:tbl>
    <w:p>
      <w:r/>
    </w:p>
    <w:p>
      <w:pPr>
        <w:pStyle w:val="Heading1"/>
        <w:pBdr>
          <w:bottom w:val="single" w:color="2E75B6" w:sz="6" w:space="4"/>
        </w:pBdr>
        <w:spacing w:after="120" w:before="360"/>
      </w:pPr>
      <w:r>
        <w:rPr>
          <w:rFonts w:ascii="Arial" w:cs="Arial" w:eastAsia="Arial" w:hAnsi="Arial"/>
          <w:b/>
          <w:bCs/>
          <w:color w:val="1F3864"/>
          <w:sz w:val="32"/>
          <w:szCs w:val="32"/>
        </w:rPr>
        <w:t>Appendix A — Supported Coordinate Formats</w:t>
      </w:r>
    </w:p>
    <w:p>
      <w:pPr>
        <w:spacing w:after="60" w:before="60"/>
      </w:pPr>
      <w:r>
        <w:rPr>
          <w:rFonts w:ascii="Arial" w:cs="Arial" w:eastAsia="Arial" w:hAnsi="Arial"/>
          <w:sz w:val="22"/>
          <w:szCs w:val="22"/>
        </w:rPr>
        <w:t>The tool accepts start and end point coordinates in any of the following formats. The format is auto-detected; no selection is required.</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Format</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MGRS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Military Grid Reference System — NATO standard. Zone + square + easting + northing.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18TVR1234567890</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Decimal Degrees (DD)</w:t>
            </w:r>
          </w:p>
        </w:tc>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Degrees with hemisphere letter, or signed decimal (negative = West / South).</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45.6466N 75.5957W</w:t>
              <w:br/>
              <w:t>or  45.6466 −75.5957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Degrees° Minutes’ Seconds″ with hemisphere letter.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45°38‧48″N 75°35‧45″W</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DDM</w:t>
            </w:r>
          </w:p>
        </w:tc>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Degrees° Decimal Minutes’ with hemisphere letter.</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45°38.800′N 75°35.742′W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UTM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Zone + band + easting + northing.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18T 611234 5051234</w:t>
            </w:r>
          </w:p>
        </w:tc>
      </w:tr>
    </w:tbl>
    <w:p>
      <w:pPr>
        <w:spacing w:after="80" w:before="80"/>
      </w:pPr>
      <w:r/>
    </w:p>
    <w:p>
      <w:pPr>
        <w:spacing w:after="60" w:before="60"/>
      </w:pPr>
      <w:r>
        <w:rPr>
          <w:rFonts w:ascii="Arial" w:cs="Arial" w:eastAsia="Arial" w:hAnsi="Arial"/>
          <w:sz w:val="22"/>
          <w:szCs w:val="22"/>
        </w:rPr>
        <w:t>The tool also displays coordinate equivalents in all formats in the “Coordinate Equivalents” read-only field immediately below the entry field, allowing operators to confirm their input before running.</w:t>
      </w:r>
    </w:p>
    <w:p>
      <w:pPr>
        <w:spacing w:after="80" w:before="80"/>
      </w:pPr>
      <w:r/>
    </w:p>
    <w:p>
      <w:r/>
    </w:p>
    <w:p>
      <w:pPr>
        <w:pStyle w:val="Heading1"/>
        <w:pBdr>
          <w:bottom w:val="single" w:color="2E75B6" w:sz="6" w:space="4"/>
        </w:pBdr>
        <w:spacing w:after="120" w:before="360"/>
      </w:pPr>
      <w:r>
        <w:rPr>
          <w:rFonts w:ascii="Arial" w:cs="Arial" w:eastAsia="Arial" w:hAnsi="Arial"/>
          <w:b/>
          <w:bCs/>
          <w:color w:val="1F3864"/>
          <w:sz w:val="32"/>
          <w:szCs w:val="32"/>
        </w:rPr>
        <w:t>Appendix B — USCS Soil Classification Reference</w:t>
      </w:r>
    </w:p>
    <w:p>
      <w:pPr>
        <w:spacing w:after="60" w:before="60"/>
      </w:pPr>
      <w:r>
        <w:rPr>
          <w:rFonts w:ascii="Arial" w:cs="Arial" w:eastAsia="Arial" w:hAnsi="Arial"/>
          <w:sz w:val="22"/>
          <w:szCs w:val="22"/>
        </w:rPr>
        <w:t>The following table summarises all USCS codes used in the soilType field, their soil descriptions, typical RCI ranges, and general CCM applicability.</w:t>
      </w:r>
    </w:p>
    <w:p>
      <w:pPr>
        <w:spacing w:after="80" w:before="80"/>
      </w:pPr>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400"/>
        <w:gridCol w:w="1400"/>
        <w:gridCol w:w="1400"/>
        <w:gridCol w:w="296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USCS</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Group Name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Grain Size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Typical RCI (dry)</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Typical RCI (wet)</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CCM Notes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Well-graded gravel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Coarse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&gt;200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&gt;180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Excellent trafficability in all conditions</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GP</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Poorly graded gravel</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Coarse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&gt;180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&gt;160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Excellent in dry; good in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Silty gravel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Coarse / Mixed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150–200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120–160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Good in most conditions</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GC</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Clayey gravel</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Coarse / Mixed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120–180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80–140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Good dry; moderate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Well-graded sand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100–180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80–150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Good trafficability</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SP</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Poorly graded sand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Medium</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80–150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60–120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Moderate; may sink in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Silty sand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Fine / Mixed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80–140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50–100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Moderate; sensitive to moisture</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SC</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Clayey sand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Fine / Mixed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60–130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40–90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Marginal to poor in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Low-plasticity silt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50–100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20–60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Poor to marginal in wet conditions</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CL</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Low-plasticity clay</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Fine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60–120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20–60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Poor in wet; surface crust dry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Low-plasticity organic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Fine / Organic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30–80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10–40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Poor overall</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MH</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High-plasticity silt</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Fine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30–80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10–40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Very poor in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High-plasticity clay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40–90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10–40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Very poor; sticky when wet</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OH</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High-plasticity organic</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Fine / Organic</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20–60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5–25</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Very poor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Peat / highly organic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Organic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&lt;20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&lt;10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Impassable in most conditions</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NE</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Not Evaluated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Unknown — defaults to gap-fill code</w:t>
            </w:r>
          </w:p>
        </w:tc>
      </w:tr>
    </w:tbl>
    <w:p>
      <w:pPr>
        <w:pStyle w:val="Heading1"/>
      </w:pPr>
      <w:r>
        <w:t>Appendix C — Supported Input Data Types (Quick Reference)</w:t>
      </w:r>
    </w:p>
    <w:p>
      <w:r>
        <w:t>The tool auto-detects the source/schema of each input and applies the matching field mapping. Where a source is not in the built-in catalogue, generic auto-discovery is used: soil inputs are scanned for texture/classification fields by common field-name aliases, and land-cover inputs are classified from their class labels by a keyword classifier. Set any source dropdown to a specific value to override auto-detection.</w:t>
      </w:r>
    </w:p>
    <w:tbl>
      <w:tblPr>
        <w:tblW w:type="auto" w:w="0"/>
        <w:tblBorders>
          <w:top w:val="single" w:color="auto" w:sz="4"/>
          <w:left w:val="single" w:color="auto" w:sz="4"/>
          <w:bottom w:val="single" w:color="auto" w:sz="4"/>
          <w:right w:val="single" w:color="auto" w:sz="4"/>
          <w:insideH w:val="single" w:color="auto" w:sz="4"/>
          <w:insideV w:val="single" w:color="auto" w:sz="4"/>
        </w:tblBorders>
        <w:tblLook w:firstColumn="1" w:firstRow="1" w:lastColumn="0" w:lastRow="0" w:noHBand="0" w:noVBand="1" w:val="04A0"/>
      </w:tblPr>
      <w:tblGrid>
        <w:gridCol w:w="4860"/>
        <w:gridCol w:w="4860"/>
      </w:tblGrid>
      <w:tr>
        <w:tc>
          <w:tcPr>
            <w:tcW w:type="dxa" w:w="4860"/>
          </w:tcPr>
          <w:p>
            <w:r>
              <w:t>Category</w:t>
            </w:r>
          </w:p>
        </w:tc>
        <w:tc>
          <w:tcPr>
            <w:tcW w:type="dxa" w:w="4860"/>
          </w:tcPr>
          <w:p>
            <w:r>
              <w:t>Supported types / formats</w:t>
            </w:r>
          </w:p>
        </w:tc>
      </w:tr>
      <w:tr>
        <w:tc>
          <w:tcPr>
            <w:tcW w:type="dxa" w:w="4860"/>
          </w:tcPr>
          <w:p>
            <w:r>
              <w:t>Soil databases</w:t>
            </w:r>
          </w:p>
        </w:tc>
        <w:tc>
          <w:tcPr>
            <w:tcW w:type="dxa" w:w="4860"/>
          </w:tcPr>
          <w:p>
            <w:r>
              <w:t>DSS (Canada), SLC (Canada), SSURGO / STATSGO2 (US), HWSD v2 (Global), SoilGrids 2.0 (Global), MGCP / TDS / GGDM (military FACC), and Generic (any FC with sand/silt/clay %, texture class, or USCS code — auto-discovered by field-name alias).</w:t>
            </w:r>
          </w:p>
        </w:tc>
      </w:tr>
      <w:tr>
        <w:tc>
          <w:tcPr>
            <w:tcW w:type="dxa" w:w="4860"/>
          </w:tcPr>
          <w:p>
            <w:r>
              <w:t>Land-cover / land-use</w:t>
            </w:r>
          </w:p>
        </w:tc>
        <w:tc>
          <w:tcPr>
            <w:tcW w:type="dxa" w:w="4860"/>
          </w:tcPr>
          <w:p>
            <w:r>
              <w:t>ESA WorldCover 10 m, NLCD (US), CGLS-LC100, NASA/GEDI canopy height, Canada Biophysical Parameters (NRCAN), DMTI Land Use (Canada), and Generic land-cover raster/FC (classes mapped by keyword classifier).</w:t>
            </w:r>
          </w:p>
        </w:tc>
      </w:tr>
      <w:tr>
        <w:tc>
          <w:tcPr>
            <w:tcW w:type="dxa" w:w="4860"/>
          </w:tcPr>
          <w:p>
            <w:r>
              <w:t>Elevation / slope</w:t>
            </w:r>
          </w:p>
        </w:tc>
        <w:tc>
          <w:tcPr>
            <w:tcW w:type="dxa" w:w="4860"/>
          </w:tcPr>
          <w:p>
            <w:r>
              <w:t>DEM raster (any ArcGIS-supported format) OR a pre-classified slope-regions polygon FC.</w:t>
            </w:r>
          </w:p>
        </w:tc>
      </w:tr>
      <w:tr>
        <w:tc>
          <w:tcPr>
            <w:tcW w:type="dxa" w:w="4860"/>
          </w:tcPr>
          <w:p>
            <w:r>
              <w:t>Hydrology / barriers</w:t>
            </w:r>
          </w:p>
        </w:tc>
        <w:tc>
          <w:tcPr>
            <w:tcW w:type="dxa" w:w="4860"/>
          </w:tcPr>
          <w:p>
            <w:r>
              <w:t>Polygon and polyline feature classes (water bodies, rivers, linear barriers); contour polylines improve slope-break detection.</w:t>
            </w:r>
          </w:p>
        </w:tc>
      </w:tr>
      <w:tr>
        <w:tc>
          <w:tcPr>
            <w:tcW w:type="dxa" w:w="4860"/>
          </w:tcPr>
          <w:p>
            <w:r>
              <w:t>Obstacles</w:t>
            </w:r>
          </w:p>
        </w:tc>
        <w:tc>
          <w:tcPr>
            <w:tcW w:type="dxa" w:w="4860"/>
          </w:tcPr>
          <w:p>
            <w:r>
              <w:t>Raster dataset, feature class / shapefile, or CSV with x/y or lat/lon columns (auto-detected).</w:t>
            </w:r>
          </w:p>
        </w:tc>
      </w:tr>
      <w:tr>
        <w:tc>
          <w:tcPr>
            <w:tcW w:type="dxa" w:w="4860"/>
          </w:tcPr>
          <w:p>
            <w:r>
              <w:t>Vehicles</w:t>
            </w:r>
          </w:p>
        </w:tc>
        <w:tc>
          <w:tcPr>
            <w:tcW w:type="dxa" w:w="4860"/>
          </w:tcPr>
          <w:p>
            <w:r>
              <w:t>CSV in the Vehicles_Can.csv schema.</w:t>
            </w:r>
          </w:p>
        </w:tc>
      </w:tr>
      <w:tr>
        <w:tc>
          <w:tcPr>
            <w:tcW w:type="dxa" w:w="4860"/>
          </w:tcPr>
          <w:p>
            <w:r>
              <w:t>Coordinates (route start/end)</w:t>
            </w:r>
          </w:p>
        </w:tc>
        <w:tc>
          <w:tcPr>
            <w:tcW w:type="dxa" w:w="4860"/>
          </w:tcPr>
          <w:p>
            <w:r>
              <w:t>MGRS, Decimal Degrees, DMS, DDM, or UTM (auto-detected).</w:t>
            </w:r>
          </w:p>
        </w:tc>
      </w:tr>
      <w:tr>
        <w:tc>
          <w:tcPr>
            <w:tcW w:type="dxa" w:w="4860"/>
          </w:tcPr>
          <w:p>
            <w:r>
              <w:t>Verify enumerations</w:t>
            </w:r>
          </w:p>
        </w:tc>
        <w:tc>
          <w:tcPr>
            <w:tcW w:type="dxa" w:w="4860"/>
          </w:tcPr>
          <w:p>
            <w:r>
              <w:t>DMTI is vector land use: rasterise on its land-use code field (or supply the polygon FC). DMTI/MGCP/TDS/GGDM class codes vary by supplier/vintage — verify against your product specification.</w:t>
            </w:r>
          </w:p>
        </w:tc>
      </w:tr>
      <w:tr>
        <w:tc>
          <w:tcPr>
            <w:tcW w:type="dxa" w:w="4860"/>
          </w:tcPr>
          <w:p>
            <w:r>
              <w:rPr>
                <w:rFonts w:ascii="Arial" w:hAnsi="Arial"/>
                <w:sz w:val="20"/>
              </w:rPr>
              <w:t>Coordinate Reference System</w:t>
            </w:r>
          </w:p>
        </w:tc>
        <w:tc>
          <w:tcPr>
            <w:tcW w:type="dxa" w:w="4860"/>
          </w:tcPr>
          <w:p>
            <w:r>
              <w:rPr>
                <w:rFonts w:ascii="Arial" w:hAnsi="Arial"/>
                <w:sz w:val="20"/>
              </w:rPr>
              <w:t>All feature-class and raster inputs across every step should share one Projected CRS (e.g. UTM) — the Analysis Extent enforces this; other layers show a warning if they don't match. See Section 3.4.</w:t>
            </w:r>
          </w:p>
        </w:tc>
      </w:tr>
    </w:tbl>
    <w:p>
      <w:pPr>
        <w:pStyle w:val="Heading1"/>
      </w:pPr>
      <w:r>
        <w:t>Appendix D — Step 0b Data Intelligence Scan (Reference)</w:t>
      </w:r>
    </w:p>
    <w:p>
      <w:r>
        <w:t>The Step 0b workflow scans the Project Root Folder (its 01_Input_Data subfolder when populated, or the root itself otherwise) before Step 1 and preserves the factual inventory reports from earlier releases. It additionally calculates quality, fitness, confidence, and readiness outputs and writes a reviewable recommendation report.</w:t>
      </w:r>
    </w:p>
    <w:p>
      <w:r>
        <w:t>Step 1 displays the recommendations at startup, but the analyst's explicit Step 1 parameters remain authoritative. Recommendations do not modify source data or silently substitute inputs.</w:t>
      </w:r>
    </w:p>
    <w:p>
      <w:pPr>
        <w:pStyle w:val="ListParagraph"/>
      </w:pPr>
      <w:r>
        <w:t>Step 0b output files (written to &lt;Project Root&gt;\02_Scan_Index\):</w:t>
      </w:r>
    </w:p>
    <w:p>
      <w:pPr>
        <w:pStyle w:val="ListParagraph"/>
      </w:pPr>
      <w:r>
        <w:t>ccm_data_catalog.json</w:t>
      </w:r>
    </w:p>
    <w:p>
      <w:pPr>
        <w:pStyle w:val="ListParagraph"/>
      </w:pPr>
      <w:r>
        <w:t>CCM_Data_Intelligence_Report.html and .txt</w:t>
      </w:r>
    </w:p>
    <w:p>
      <w:pPr>
        <w:pStyle w:val="ListParagraph"/>
      </w:pPr>
      <w:r>
        <w:t>ccm_quality_scores.json</w:t>
      </w:r>
    </w:p>
    <w:p>
      <w:pPr>
        <w:pStyle w:val="ListParagraph"/>
      </w:pPr>
      <w:r>
        <w:t>ccm_fitness_scores.json</w:t>
      </w:r>
    </w:p>
    <w:p>
      <w:pPr>
        <w:pStyle w:val="ListParagraph"/>
      </w:pPr>
      <w:r>
        <w:t>ccm_confidence_scores.json</w:t>
      </w:r>
    </w:p>
    <w:p>
      <w:pPr>
        <w:pStyle w:val="ListParagraph"/>
      </w:pPr>
      <w:r>
        <w:t>ccm_readiness_scores.json</w:t>
      </w:r>
    </w:p>
    <w:p>
      <w:pPr>
        <w:pStyle w:val="ListParagraph"/>
      </w:pPr>
      <w:r>
        <w:t>ccm_recommendations.json</w:t>
      </w:r>
    </w:p>
    <w:p>
      <w:pPr>
        <w:pStyle w:val="ListParagraph"/>
      </w:pPr>
      <w:r>
        <w:t>CCM_Recommendations_Report.html</w:t>
      </w:r>
    </w:p>
    <w:sectPr>
      <w:headerReference w:type="default" r:id="rId7"/>
      <w:footerReference w:type="default" r:id="rId8"/>
      <w:headerReference w:type="first" r:id="rId10"/>
      <w:footerReference w:type="first" r:id="rId11"/>
      <w:headerReference w:type="even" r:id="rId12"/>
      <w:footerReference w:type="even" r:id="rId13"/>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2"/>
      </w:pBdr>
      <w:jc w:val="center"/>
    </w:pPr>
    <w:r>
      <w:rPr>
        <w:rFonts w:ascii="Arial" w:cs="Arial" w:eastAsia="Arial" w:hAnsi="Arial"/>
        <w:color w:val="AAAAAA"/>
        <w:sz w:val="16"/>
        <w:szCs w:val="16"/>
      </w:rPr>
      <w:t>UNCLASSIFIED // FOR TRAINING USE ONLY</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tabs>
        <w:tab w:val="right" w:pos="9360"/>
      </w:tabs>
    </w:pPr>
    <w:r>
      <w:rPr>
        <w:rFonts w:ascii="Arial" w:cs="Arial" w:eastAsia="Arial" w:hAnsi="Arial"/>
        <w:color w:val="888888"/>
        <w:sz w:val="18"/>
        <w:szCs w:val="18"/>
      </w:rPr>
      <w:t>CCM Tool v0.60.10 — User Manual</w:t>
    </w:r>
    <w:r>
      <w:rPr>
        <w:rFonts w:ascii="Arial" w:cs="Arial" w:eastAsia="Arial" w:hAnsi="Arial"/>
        <w:sz w:val="18"/>
        <w:szCs w:val="18"/>
      </w:rPr>
      <w:tab/>
    </w:r>
    <w:r>
      <w:rPr>
        <w:rFonts w:ascii="Arial" w:cs="Arial" w:eastAsia="Arial" w:hAnsi="Arial"/>
        <w:color w:val="888888"/>
        <w:sz w:val="18"/>
        <w:szCs w:val="18"/>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386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Eui Soo Son</dc:creator>
  <cp:lastModifiedBy>Eui Soo Son</cp:lastModifiedBy>
  <cp:revision>1</cp:revision>
  <dcterms:created xsi:type="dcterms:W3CDTF">2026-06-07T04:32:31.529Z</dcterms:created>
  <dcterms:modified xsi:type="dcterms:W3CDTF">2026-06-07T04:32:31.529Z</dcterms:modified>
  <dc:title>CCM Tool v0.60.10 User Manual</dc:title>
  <dc:subject>Cross-Country Mobility (CCM) Assessment Tool</dc:subject>
</cp:coreProperties>
</file>

<file path=docProps/custom.xml><?xml version="1.0" encoding="utf-8"?>
<Properties xmlns="http://schemas.openxmlformats.org/officeDocument/2006/custom-properties" xmlns:vt="http://schemas.openxmlformats.org/officeDocument/2006/docPropsVTypes"/>
</file>