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 xml:space="preserve">Cross-Country Mobility Tool</w:t>
      </w:r>
    </w:p>
    <w:p>
      <w:pPr>
        <w:spacing w:after="120" w:before="0"/>
        <w:jc w:val="center"/>
      </w:pPr>
      <w:r>
        <w:rPr>
          <w:rFonts w:ascii="Arial" w:cs="Arial" w:eastAsia="Arial" w:hAnsi="Arial"/>
          <w:b/>
          <w:bCs/>
          <w:color w:val="1F3864"/>
          <w:sz w:val="40"/>
          <w:szCs w:val="40"/>
        </w:rPr>
        <w:t xml:space="preserve">User Manual</w:t>
      </w:r>
    </w:p>
    <w:p>
      <w:pPr>
        <w:spacing w:after="720" w:before="0"/>
        <w:jc w:val="center"/>
      </w:pPr>
      <w:r>
        <w:rPr>
          <w:rFonts w:ascii="Arial" w:cs="Arial" w:eastAsia="Arial" w:hAnsi="Arial"/>
          <w:color w:val="2E75B6"/>
          <w:sz w:val="28"/>
          <w:szCs w:val="28"/>
        </w:rPr>
        <w:t>Version 0.56.0</w:t>
      </w:r>
    </w:p>
    <w:p>
      <w:pPr>
        <w:pBdr>
          <w:bottom w:val="single" w:color="CCCCCC" w:sz="4" w:space="2"/>
        </w:pBdr>
        <w:spacing w:after="120" w:before="120"/>
      </w:pPr>
      <w:r>
        <w:t xml:space="preserve"/>
      </w:r>
    </w:p>
    <w:p>
      <w:pPr>
        <w:spacing w:after="60" w:before="240"/>
        <w:jc w:val="center"/>
      </w:pPr>
      <w:r>
        <w:rPr>
          <w:rFonts w:ascii="Arial" w:cs="Arial" w:eastAsia="Arial" w:hAnsi="Arial"/>
          <w:color w:val="555555"/>
          <w:sz w:val="24"/>
          <w:szCs w:val="24"/>
        </w:rPr>
        <w:t xml:space="preserve">ArcGIS Pro Python Toolbox</w:t>
      </w:r>
    </w:p>
    <w:p>
      <w:pPr>
        <w:spacing w:after="60" w:before="0"/>
        <w:jc w:val="center"/>
      </w:pPr>
      <w:r>
        <w:rPr>
          <w:rFonts w:ascii="Arial" w:cs="Arial" w:eastAsia="Arial" w:hAnsi="Arial"/>
          <w:color w:val="555555"/>
          <w:sz w:val="24"/>
          <w:szCs w:val="24"/>
        </w:rPr>
        <w:t xml:space="preserve">For Military Terrain Analysis and Emergency Response Planning</w:t>
      </w:r>
    </w:p>
    <w:p>
      <w:pPr>
        <w:spacing w:after="0" w:before="240"/>
        <w:jc w:val="center"/>
      </w:pPr>
      <w:r>
        <w:rPr>
          <w:rFonts w:ascii="Arial" w:cs="Arial" w:eastAsia="Arial" w:hAnsi="Arial"/>
          <w:color w:val="888888"/>
          <w:sz w:val="22"/>
          <w:szCs w:val="22"/>
        </w:rPr>
        <w:t>August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t xml:space="preserve"/>
      </w:r>
    </w:p>
    <w:p>
      <w:pPr>
        <w:spacing w:after="120" w:before="120"/>
        <w:jc w:val="center"/>
      </w:pPr>
      <w:r>
        <w:rPr>
          <w:rFonts w:ascii="Arial" w:cs="Arial" w:eastAsia="Arial" w:hAnsi="Arial"/>
          <w:b/>
          <w:bCs/>
          <w:color w:val="2E75B6"/>
          <w:sz w:val="26"/>
          <w:szCs w:val="26"/>
        </w:rPr>
        <w:t xml:space="preserve">“Can this vehicle cross this terrain — and how fast?”</w:t>
      </w:r>
    </w:p>
    <w:p>
      <w:pPr>
        <w:spacing w:after="80" w:before="80"/>
      </w:pPr>
      <w:r>
        <w:t xml:space="preserve"/>
      </w:r>
    </w:p>
    <w:p>
      <w:pPr>
        <w:spacing w:after="60" w:before="60"/>
      </w:pPr>
      <w:r>
        <w:rPr>
          <w:rFonts w:ascii="Arial" w:cs="Arial" w:eastAsia="Arial" w:hAnsi="Arial"/>
          <w:sz w:val="22"/>
          <w:szCs w:val="22"/>
        </w:rPr>
        <w:t xml:space="preserve">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  Key Capabilities</w:t>
      </w:r>
    </w:p>
    <w:p>
      <w:pPr>
        <w:pStyle w:val="ListParagraph"/>
        <w:numPr>
          <w:ilvl w:val="0"/>
          <w:numId w:val="2"/>
        </w:numPr>
        <w:spacing w:after="40" w:before="40"/>
      </w:pPr>
      <w:r>
        <w:rPr>
          <w:rFonts w:ascii="Arial" w:cs="Arial" w:eastAsia="Arial" w:hAnsi="Arial"/>
          <w:sz w:val="22"/>
          <w:szCs w:val="22"/>
        </w:rPr>
        <w:t xml:space="preserve">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 xml:space="preserve">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 xml:space="preserve">Identify WHY areas are blocked or slow (Reason Map)</w:t>
      </w:r>
    </w:p>
    <w:p>
      <w:pPr>
        <w:pStyle w:val="ListParagraph"/>
        <w:numPr>
          <w:ilvl w:val="0"/>
          <w:numId w:val="2"/>
        </w:numPr>
        <w:spacing w:after="40" w:before="40"/>
      </w:pPr>
      <w:r>
        <w:rPr>
          <w:rFonts w:ascii="Arial" w:cs="Arial" w:eastAsia="Arial" w:hAnsi="Arial"/>
          <w:sz w:val="22"/>
          <w:szCs w:val="22"/>
        </w:rPr>
        <w:t xml:space="preserve">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 xml:space="preserve">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 xml:space="preserve">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 xml:space="preserve">Find the time-optimal route between two points on the terrain</w:t>
      </w:r>
    </w:p>
    <w:p>
      <w:pPr>
        <w:pStyle w:val="ListParagraph"/>
        <w:numPr>
          <w:ilvl w:val="0"/>
          <w:numId w:val="2"/>
        </w:numPr>
        <w:spacing w:after="40" w:before="40"/>
      </w:pPr>
      <w:r>
        <w:rPr>
          <w:rFonts w:ascii="Arial" w:cs="Arial" w:eastAsia="Arial" w:hAnsi="Arial"/>
          <w:sz w:val="22"/>
          <w:szCs w:val="22"/>
        </w:rPr>
        <w:t xml:space="preserve">Accept coordinates in MGRS, Decimal Degrees, DMS, DDM, or UTM formats</w:t>
      </w:r>
    </w:p>
    <w:p>
      <w:pPr>
        <w:pStyle w:val="ListParagraph"/>
        <w:numPr>
          <w:ilvl w:val="0"/>
          <w:numId w:val="2"/>
        </w:numPr>
        <w:spacing w:after="40" w:before="40"/>
      </w:pPr>
      <w:r>
        <w:rPr>
          <w:rFonts w:ascii="Arial" w:cs="Arial" w:eastAsia="Arial" w:hAnsi="Arial"/>
          <w:sz w:val="22"/>
          <w:szCs w:val="22"/>
        </w:rPr>
        <w:t xml:space="preserve">Integrate real-time rainfall data to adjust soil trafficability dynamically</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  How the Tool Works — The Five Factors</w:t>
      </w:r>
    </w:p>
    <w:p>
      <w:pPr>
        <w:spacing w:after="60" w:before="60"/>
      </w:pPr>
      <w:r>
        <w:rPr>
          <w:rFonts w:ascii="Arial" w:cs="Arial" w:eastAsia="Arial" w:hAnsi="Arial"/>
          <w:sz w:val="22"/>
          <w:szCs w:val="22"/>
        </w:rPr>
        <w:t xml:space="preserve">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FC</w:t>
            </w:r>
          </w:p>
        </w:tc>
      </w:tr>
    </w:tbl>
    <w:p>
      <w:pPr>
        <w:spacing w:after="80" w:before="80"/>
      </w:pPr>
      <w:r>
        <w:t xml:space="preserve"/>
      </w:r>
    </w:p>
    <w:p>
      <w:pPr>
        <w:spacing w:after="60" w:before="60"/>
      </w:pPr>
      <w:r>
        <w:rPr>
          <w:rFonts w:ascii="Arial" w:cs="Arial" w:eastAsia="Arial" w:hAnsi="Arial"/>
          <w:sz w:val="22"/>
          <w:szCs w:val="22"/>
        </w:rPr>
        <w:t xml:space="preserve">The final speed for each polygon is:</w:t>
      </w:r>
    </w:p>
    <w:p>
      <w:pPr>
        <w:spacing w:after="80" w:before="80"/>
        <w:jc w:val="center"/>
      </w:pPr>
      <w:r>
        <w:rPr>
          <w:rFonts w:ascii="Courier New" w:cs="Courier New" w:eastAsia="Courier New" w:hAnsi="Courier New"/>
          <w:color w:val="1F3864"/>
          <w:sz w:val="20"/>
          <w:szCs w:val="20"/>
        </w:rPr>
        <w:t xml:space="preserve">Speed (km/h) = Vehicle Max Speed × min(F1, F2, F3, F_soil, F_hydro)</w:t>
      </w:r>
    </w:p>
    <w:p>
      <w:pPr>
        <w:spacing w:after="60" w:before="60"/>
      </w:pPr>
      <w:r>
        <w:rPr>
          <w:rFonts w:ascii="Arial" w:cs="Arial" w:eastAsia="Arial" w:hAnsi="Arial"/>
          <w:sz w:val="22"/>
          <w:szCs w:val="22"/>
        </w:rPr>
        <w:t xml:space="preserve">If any single factor equals 0.0, the polygon is a No-Go for that vehicle regardless of the other factors.</w:t>
      </w:r>
    </w:p>
    <w:p>
      <w:pPr>
        <w:spacing w:after="80" w:before="80"/>
      </w:pPr>
      <w:r>
        <w:t xml:space="preserve"/>
      </w:r>
    </w:p>
    <w:p>
      <w:pPr>
        <w:pStyle w:val="Heading2"/>
        <w:spacing w:after="100" w:before="280"/>
      </w:pPr>
      <w:r>
        <w:rPr>
          <w:rFonts w:ascii="Arial" w:cs="Arial" w:eastAsia="Arial" w:hAnsi="Arial"/>
          <w:b/>
          <w:bCs/>
          <w:color w:val="2E75B6"/>
          <w:sz w:val="28"/>
          <w:szCs w:val="28"/>
        </w:rPr>
        <w:t>1.4  Tool Architecture — Steps 0 to 4</w:t>
      </w:r>
    </w:p>
    <w:p>
      <w:pPr>
        <w:spacing w:after="60" w:before="60"/>
      </w:pPr>
      <w:r>
        <w:rPr>
          <w:rFonts w:ascii="Arial" w:cs="Arial" w:eastAsia="Arial" w:hAnsi="Arial"/>
          <w:sz w:val="22"/>
          <w:szCs w:val="22"/>
        </w:rPr>
        <w:t xml:space="preserve">All analysis is organised into sequential steps. Step 0 (optional, new in v0.50) consolidates raw MGCP source data into a single geodatabase; completing Step 1 once is then sufficient for all subsequent runs — you never re-enter data.</w:t>
      </w:r>
      <w:r>
        <w:rPr>
          <w:rFonts w:ascii="Arial" w:hAnsi="Arial"/>
          <w:sz w:val="22"/>
        </w:rPr>
        <w:t xml:space="preserve"> Step 4 (optional) offers the same vehicle-comparison analysis as a standalone tool — useful for comparing speed surfaces from different project folders without re-running Step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 xml:space="preserve">Who Is This Section For?</w:t>
            </w:r>
          </w:p>
          <w:p>
            <w:pPr>
              <w:spacing w:after="0" w:before="0"/>
            </w:pPr>
            <w:r>
              <w:rPr>
                <w:rFonts w:ascii="Arial" w:cs="Arial" w:eastAsia="Arial" w:hAnsi="Arial"/>
                <w:sz w:val="22"/>
                <w:szCs w:val="22"/>
              </w:rPr>
              <w:t xml:space="preserve">This section is for field operators and mission planners who need to run the tool quickly. It assumes ArcGIS Pro is already installed and the toolbox has been loaded by a GIS analyst.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2.1  What You Need Before Starting</w:t>
      </w:r>
    </w:p>
    <w:p>
      <w:pPr>
        <w:pStyle w:val="ListParagraph"/>
        <w:numPr>
          <w:ilvl w:val="0"/>
          <w:numId w:val="3"/>
        </w:numPr>
        <w:spacing w:after="40" w:before="40"/>
      </w:pPr>
      <w:r>
        <w:rPr>
          <w:rFonts w:ascii="Arial" w:cs="Arial" w:eastAsia="Arial" w:hAnsi="Arial"/>
          <w:sz w:val="22"/>
          <w:szCs w:val="22"/>
        </w:rPr>
        <w:t xml:space="preserve">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(CCM_Tool_v0.56.0) accessible on your computer</w:t>
      </w:r>
    </w:p>
    <w:p>
      <w:pPr>
        <w:pStyle w:val="ListParagraph"/>
        <w:numPr>
          <w:ilvl w:val="0"/>
          <w:numId w:val="3"/>
        </w:numPr>
        <w:spacing w:after="40" w:before="40"/>
      </w:pPr>
      <w:r>
        <w:rPr>
          <w:rFonts w:ascii="Arial" w:cs="Arial" w:eastAsia="Arial" w:hAnsi="Arial"/>
          <w:sz w:val="22"/>
          <w:szCs w:val="22"/>
        </w:rPr>
        <w:t xml:space="preserve">An Analysis Extent polygon (your study area) in a Projected CRS (e.g., UTM)</w:t>
      </w:r>
    </w:p>
    <w:p>
      <w:pPr>
        <w:pStyle w:val="ListParagraph"/>
        <w:numPr>
          <w:ilvl w:val="0"/>
          <w:numId w:val="3"/>
        </w:numPr>
        <w:spacing w:after="40" w:before="40"/>
      </w:pPr>
      <w:r>
        <w:rPr>
          <w:rFonts w:ascii="Arial" w:cs="Arial" w:eastAsia="Arial" w:hAnsi="Arial"/>
          <w:sz w:val="22"/>
          <w:szCs w:val="22"/>
        </w:rPr>
        <w:t xml:space="preserve">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 xml:space="preserve">Pre-processed soil data (your GIS analyst sets this up in Step 1)</w:t>
      </w:r>
    </w:p>
    <w:p>
      <w:pPr>
        <w:pStyle w:val="ListParagraph"/>
        <w:numPr>
          <w:ilvl w:val="0"/>
          <w:numId w:val="3"/>
        </w:numPr>
        <w:spacing w:after="40" w:before="40"/>
      </w:pPr>
      <w:r>
        <w:rPr>
          <w:rFonts w:ascii="Arial" w:cs="Arial" w:eastAsia="Arial" w:hAnsi="Arial"/>
          <w:sz w:val="22"/>
          <w:szCs w:val="22"/>
        </w:rPr>
        <w:t xml:space="preserve">Pre-processed vegetation data (your GIS analyst sets this up in Step 1)</w:t>
      </w:r>
    </w:p>
    <w:p>
      <w:pPr>
        <w:pStyle w:val="ListParagraph"/>
        <w:numPr>
          <w:ilvl w:val="0"/>
          <w:numId w:val="3"/>
        </w:numPr>
        <w:spacing w:after="40" w:before="40"/>
      </w:pPr>
      <w:r>
        <w:rPr>
          <w:rFonts w:ascii="Arial" w:cs="Arial" w:eastAsia="Arial" w:hAnsi="Arial"/>
          <w:sz w:val="22"/>
          <w:szCs w:val="22"/>
        </w:rPr>
        <w:t xml:space="preserve">A Vehicle Definitions CSV file (Vehicles_Can.csv is included)</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2.2  Loading the Toolbox in ArcGIS Pro</w:t>
      </w:r>
    </w:p>
    <w:p>
      <w:pPr>
        <w:pStyle w:val="ListParagraph"/>
        <w:numPr>
          <w:ilvl w:val="0"/>
          <w:numId w:val="3"/>
        </w:numPr>
        <w:spacing w:after="40" w:before="40"/>
      </w:pPr>
      <w:r>
        <w:rPr>
          <w:rFonts w:ascii="Arial" w:cs="Arial" w:eastAsia="Arial" w:hAnsi="Arial"/>
          <w:sz w:val="22"/>
          <w:szCs w:val="22"/>
        </w:rPr>
        <w:t xml:space="preserve">Open ArcGIS Pro and your project.</w:t>
      </w:r>
    </w:p>
    <w:p>
      <w:pPr>
        <w:pStyle w:val="ListParagraph"/>
        <w:numPr>
          <w:ilvl w:val="0"/>
          <w:numId w:val="3"/>
        </w:numPr>
        <w:spacing w:after="40" w:before="40"/>
      </w:pPr>
      <w:r>
        <w:rPr>
          <w:rFonts w:ascii="Arial" w:cs="Arial" w:eastAsia="Arial" w:hAnsi="Arial"/>
          <w:sz w:val="22"/>
          <w:szCs w:val="22"/>
        </w:rPr>
        <w:t xml:space="preserve">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CCM_Tool_v0.56.0 folder and select CCM_Tool_v0.56.0.pyt.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Once the toolbox is added to your ArcGIS Pro project, it will be remembered next time you open that project. You only need to add it once.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2.3  Running the Tool — Step by Step</w:t>
      </w:r>
    </w:p>
    <w:p>
      <w:pPr>
        <w:pStyle w:val="Heading3"/>
        <w:spacing w:after="80" w:before="200"/>
      </w:pPr>
      <w:r>
        <w:rPr>
          <w:rFonts w:ascii="Arial" w:cs="Arial" w:eastAsia="Arial" w:hAnsi="Arial"/>
          <w:b/>
          <w:bCs/>
          <w:color w:val="1F3864"/>
          <w:sz w:val="24"/>
          <w:szCs w:val="24"/>
        </w:rPr>
        <w:t xml:space="preserve">Step 1 — Project Setup (one time only)</w:t>
      </w:r>
    </w:p>
    <w:p>
      <w:pPr>
        <w:pStyle w:val="ListParagraph"/>
        <w:numPr>
          <w:ilvl w:val="0"/>
          <w:numId w:val="3"/>
        </w:numPr>
        <w:spacing w:after="40" w:before="40"/>
      </w:pPr>
      <w:r>
        <w:rPr>
          <w:rFonts w:ascii="Arial" w:cs="Arial" w:eastAsia="Arial" w:hAnsi="Arial"/>
          <w:sz w:val="22"/>
          <w:szCs w:val="22"/>
        </w:rPr>
        <w:t xml:space="preserve">Double-click Step 1. Project Setup &amp; Pre-process.</w:t>
      </w:r>
    </w:p>
    <w:p>
      <w:pPr>
        <w:pStyle w:val="ListParagraph"/>
        <w:numPr>
          <w:ilvl w:val="0"/>
          <w:numId w:val="3"/>
        </w:numPr>
        <w:spacing w:after="40" w:before="40"/>
      </w:pPr>
      <w:r>
        <w:rPr>
          <w:rFonts w:ascii="Arial" w:cs="Arial" w:eastAsia="Arial" w:hAnsi="Arial"/>
          <w:sz w:val="22"/>
          <w:szCs w:val="22"/>
        </w:rPr>
        <w:t xml:space="preserve">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 xml:space="preserve">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 xml:space="preserve">Set DEM or Slope Regions (or both).</w:t>
      </w:r>
    </w:p>
    <w:p>
      <w:pPr>
        <w:pStyle w:val="ListParagraph"/>
        <w:numPr>
          <w:ilvl w:val="0"/>
          <w:numId w:val="3"/>
        </w:numPr>
        <w:spacing w:after="40" w:before="40"/>
      </w:pPr>
      <w:r>
        <w:rPr>
          <w:rFonts w:ascii="Arial" w:cs="Arial" w:eastAsia="Arial" w:hAnsi="Arial"/>
          <w:sz w:val="22"/>
          <w:szCs w:val="22"/>
        </w:rPr>
        <w:t xml:space="preserve">Set Default Soil Moisture Condition (dry / moist / wet).</w:t>
      </w:r>
    </w:p>
    <w:p>
      <w:pPr>
        <w:pStyle w:val="ListParagraph"/>
        <w:numPr>
          <w:ilvl w:val="0"/>
          <w:numId w:val="3"/>
        </w:numPr>
        <w:spacing w:after="40" w:before="40"/>
      </w:pPr>
      <w:r>
        <w:rPr>
          <w:rFonts w:ascii="Arial" w:cs="Arial" w:eastAsia="Arial" w:hAnsi="Arial"/>
          <w:sz w:val="22"/>
          <w:szCs w:val="22"/>
        </w:rPr>
        <w:t xml:space="preserve">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 xml:space="preserve">Under Vegetation Pre-processing: select your vegetation raster files.</w:t>
      </w:r>
    </w:p>
    <w:p>
      <w:pPr>
        <w:pStyle w:val="ListParagraph"/>
        <w:numPr>
          <w:ilvl w:val="0"/>
          <w:numId w:val="3"/>
        </w:numPr>
        <w:spacing w:after="40" w:before="40"/>
      </w:pPr>
      <w:r>
        <w:rPr>
          <w:rFonts w:ascii="Arial" w:cs="Arial" w:eastAsia="Arial" w:hAnsi="Arial"/>
          <w:sz w:val="22"/>
          <w:szCs w:val="22"/>
        </w:rPr>
        <w:t xml:space="preserve">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 xml:space="preserve">Click Run. The tool will pre-process all inputs and save ccm_project.json in your output folder.</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2 — Generate the Mobility Map</w:t>
      </w:r>
    </w:p>
    <w:p>
      <w:pPr>
        <w:pStyle w:val="ListParagraph"/>
        <w:numPr>
          <w:ilvl w:val="0"/>
          <w:numId w:val="3"/>
        </w:numPr>
        <w:spacing w:after="40" w:before="40"/>
      </w:pPr>
      <w:r>
        <w:rPr>
          <w:rFonts w:ascii="Arial" w:cs="Arial" w:eastAsia="Arial" w:hAnsi="Arial"/>
          <w:sz w:val="22"/>
          <w:szCs w:val="22"/>
        </w:rPr>
        <w:t xml:space="preserve">Double-click Step 2.</w:t>
      </w:r>
    </w:p>
    <w:p>
      <w:pPr>
        <w:pStyle w:val="ListParagraph"/>
        <w:numPr>
          <w:ilvl w:val="0"/>
          <w:numId w:val="3"/>
        </w:numPr>
        <w:spacing w:after="40" w:before="40"/>
      </w:pPr>
      <w:r>
        <w:rPr>
          <w:rFonts w:ascii="Arial" w:cs="Arial" w:eastAsia="Arial" w:hAnsi="Arial"/>
          <w:sz w:val="22"/>
          <w:szCs w:val="22"/>
        </w:rPr>
        <w:t xml:space="preserve">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 xml:space="preserve">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 xml:space="preserve">Set the soil moisture condition.</w:t>
      </w:r>
    </w:p>
    <w:p>
      <w:pPr>
        <w:pStyle w:val="ListParagraph"/>
        <w:numPr>
          <w:ilvl w:val="0"/>
          <w:numId w:val="3"/>
        </w:numPr>
        <w:spacing w:after="40" w:before="40"/>
      </w:pPr>
      <w:r>
        <w:rPr>
          <w:rFonts w:ascii="Arial" w:cs="Arial" w:eastAsia="Arial" w:hAnsi="Arial"/>
          <w:sz w:val="22"/>
          <w:szCs w:val="22"/>
        </w:rPr>
        <w:t xml:space="preserve">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 xml:space="preserve">Click Run. The tool generates a speed surface polygon FC in your project GDB.</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3 — Advanced Analysis (optional)</w:t>
      </w:r>
    </w:p>
    <w:p>
      <w:pPr>
        <w:pStyle w:val="ListParagraph"/>
        <w:numPr>
          <w:ilvl w:val="0"/>
          <w:numId w:val="3"/>
        </w:numPr>
        <w:spacing w:after="40" w:before="40"/>
      </w:pPr>
      <w:r>
        <w:rPr>
          <w:rFonts w:ascii="Arial" w:cs="Arial" w:eastAsia="Arial" w:hAnsi="Arial"/>
          <w:sz w:val="22"/>
          <w:szCs w:val="22"/>
        </w:rPr>
        <w:t xml:space="preserve">Double-click Step 3. Advanced Analysis.</w:t>
      </w:r>
    </w:p>
    <w:p>
      <w:pPr>
        <w:pStyle w:val="ListParagraph"/>
        <w:numPr>
          <w:ilvl w:val="0"/>
          <w:numId w:val="3"/>
        </w:numPr>
        <w:spacing w:after="40" w:before="40"/>
      </w:pPr>
      <w:r>
        <w:rPr>
          <w:rFonts w:ascii="Arial" w:cs="Arial" w:eastAsia="Arial" w:hAnsi="Arial"/>
          <w:sz w:val="22"/>
          <w:szCs w:val="22"/>
        </w:rPr>
        <w:t xml:space="preserve">Select your Project Folder (auto-fills Speed Surface FC).</w:t>
      </w:r>
    </w:p>
    <w:p>
      <w:pPr>
        <w:pStyle w:val="ListParagraph"/>
        <w:numPr>
          <w:ilvl w:val="0"/>
          <w:numId w:val="3"/>
        </w:numPr>
        <w:spacing w:after="40" w:before="40"/>
      </w:pPr>
      <w:r>
        <w:rPr>
          <w:rFonts w:ascii="Arial" w:cs="Arial" w:eastAsia="Arial" w:hAnsi="Arial"/>
          <w:sz w:val="22"/>
          <w:szCs w:val="22"/>
        </w:rPr>
        <w:t xml:space="preserve">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 xml:space="preserve">Fill in any required parameters for the enabled analyses.</w:t>
      </w:r>
    </w:p>
    <w:p>
      <w:pPr>
        <w:pStyle w:val="ListParagraph"/>
        <w:numPr>
          <w:ilvl w:val="0"/>
          <w:numId w:val="3"/>
        </w:numPr>
        <w:spacing w:after="40" w:before="40"/>
      </w:pPr>
      <w:r>
        <w:rPr>
          <w:rFonts w:ascii="Arial" w:cs="Arial" w:eastAsia="Arial" w:hAnsi="Arial"/>
          <w:sz w:val="22"/>
          <w:szCs w:val="22"/>
        </w:rPr>
        <w:t xml:space="preserve">Click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 xml:space="preserve">Note</w:t>
            </w:r>
          </w:p>
          <w:p>
            <w:pPr>
              <w:spacing w:after="0" w:before="0"/>
            </w:pPr>
            <w:r>
              <w:rPr>
                <w:rFonts w:ascii="Arial" w:cs="Arial" w:eastAsia="Arial" w:hAnsi="Arial"/>
                <w:sz w:val="22"/>
                <w:szCs w:val="22"/>
              </w:rPr>
              <w:t xml:space="preserve">You can run Step 3 multiple times with different settings without re-running Steps 1 or 2. The project config (ccm_project.json) persists all your data paths.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2.4  Reading the Output Map</w:t>
      </w:r>
    </w:p>
    <w:p>
      <w:pPr>
        <w:spacing w:after="60" w:before="60"/>
      </w:pPr>
      <w:r>
        <w:rPr>
          <w:rFonts w:ascii="Arial" w:cs="Arial" w:eastAsia="Arial" w:hAnsi="Arial"/>
          <w:sz w:val="22"/>
          <w:szCs w:val="22"/>
        </w:rPr>
        <w:t xml:space="preserve">The main output is a polygon feature class with per-vehicle speed values. Apply the included Mobility_Symbology_Final.lyrx symbology file to display it in standard CCM colours: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Cannot be crossed regardless of conditions</w:t>
            </w:r>
          </w:p>
        </w:tc>
      </w:tr>
    </w:tbl>
    <w:p>
      <w:r>
        <w:br w:type="page"/>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 xml:space="preserve">2.5  Step 0 — Load MGCP Data (new in v0.50)</w:t>
      </w:r>
    </w:p>
    <w:p>
      <w:pPr>
        <w:spacing w:after="120"/>
      </w:pPr>
      <w:r>
        <w:rPr>
          <w:rFonts w:ascii="Arial" w:cs="Arial" w:eastAsia="Arial" w:hAnsi="Arial"/>
          <w:sz w:val="22"/>
          <w:szCs w:val="22"/>
        </w:rPr>
        <w:t xml:space="preserve">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 xml:space="preserve">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are always renamed with their catalog labels, and are grouped in the map by the new Group Layers in Map By parameter (Section 2.5.1).</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 xml:space="preserve">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 xml:space="preserve">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 xml:space="preserve">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 as of v0.56.0 to the source before the copy when an Output Coordinate System is set (so the reprojection starts from a defined CRS rather than an undefined one), and to the output afterwards in every other case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rPr>
          <w:rFonts w:ascii="Arial" w:cs="Arial" w:eastAsia="Arial" w:hAnsi="Arial"/>
          <w:b/>
          <w:bCs/>
          <w:color w:val="2E75B6"/>
          <w:sz w:val="28"/>
          <w:szCs w:val="28"/>
        </w:rPr>
        <w:t xml:space="preserve">2.5.1  Map grouping: Point / Line / Polygon (new in v0.56)</w:t>
      </w:r>
    </w:p>
    <w:p>
      <w:pPr>
        <w:spacing w:after="120"/>
      </w:pPr>
      <w:r>
        <w:rPr>
          <w:rFonts w:ascii="Arial" w:cs="Arial" w:eastAsia="Arial" w:hAnsi="Arial"/>
          <w:b/>
          <w:sz w:val="22"/>
          <w:szCs w:val="22"/>
        </w:rPr>
        <w:t xml:space="preserve">Why it changed.  </w:t>
      </w:r>
      <w:r>
        <w:rPr>
          <w:rFonts w:ascii="Arial" w:cs="Arial" w:eastAsia="Arial" w:hAnsi="Arial"/>
          <w:sz w:val="22"/>
          <w:szCs w:val="22"/>
        </w:rPr>
        <w:t xml:space="preserve">A full MGCP delivery previously arrived as one group layer per MGCP theme — a dozen groups and dozens of layers — which made the Contents pane hard to work with. Grouping by geometry instead gives you three switches for the three things you actually toggle while reading a map.</w:t>
      </w:r>
    </w:p>
    <w:p>
      <w:pPr>
        <w:spacing w:after="120"/>
      </w:pPr>
      <w:r>
        <w:rPr>
          <w:rFonts w:ascii="Arial" w:cs="Arial" w:eastAsia="Arial" w:hAnsi="Arial"/>
          <w:b/>
          <w:sz w:val="22"/>
          <w:szCs w:val="22"/>
        </w:rPr>
        <w:t xml:space="preserve">Group Layers in Map By.  </w:t>
      </w:r>
      <w:r>
        <w:rPr>
          <w:rFonts w:ascii="Arial" w:cs="Arial" w:eastAsia="Arial" w:hAnsi="Arial"/>
          <w:sz w:val="22"/>
          <w:szCs w:val="22"/>
        </w:rPr>
        <w:t xml:space="preserve">This parameter offers Geometry (the default), Theme, GDB Name, None, and a legacy setting. Geometry creates exactly three groups — Point, Line and Polygon — in cartographic draw order, with Point at the top of the Contents pane so point features are never buried under polygon fills. An Other group appears only if a layer's geometry cannot be determined. Re-running Step 0 reuses the existing groups instead of creating duplicates.</w:t>
      </w:r>
    </w:p>
    <w:p>
      <w:pPr>
        <w:spacing w:after="120"/>
      </w:pPr>
      <w:r>
        <w:rPr>
          <w:rFonts w:ascii="Arial" w:cs="Arial" w:eastAsia="Arial" w:hAnsi="Arial"/>
          <w:b/>
          <w:sz w:val="22"/>
          <w:szCs w:val="22"/>
        </w:rPr>
        <w:t xml:space="preserve">The two old checkboxes.  </w:t>
      </w:r>
      <w:r>
        <w:rPr>
          <w:rFonts w:ascii="Arial" w:cs="Arial" w:eastAsia="Arial" w:hAnsi="Arial"/>
          <w:sz w:val="22"/>
          <w:szCs w:val="22"/>
        </w:rPr>
        <w:t xml:space="preserve">Group Layers by GDB Name and Group Layers by Theme are still present so that saved models and scripts keep working, but they are ignored unless Group Layers in Map By is set to its legacy setting. The tool dialog tells you if you tick one while a real grouping mode is selected.</w:t>
      </w:r>
    </w:p>
    <w:p>
      <w:pPr>
        <w:spacing w:after="120"/>
      </w:pPr>
      <w:r>
        <w:rPr>
          <w:rFonts w:ascii="Arial" w:cs="Arial" w:eastAsia="Arial" w:hAnsi="Arial"/>
          <w:b/>
          <w:sz w:val="22"/>
          <w:szCs w:val="22"/>
        </w:rPr>
        <w:t xml:space="preserve">Readable aliases.  </w:t>
      </w:r>
      <w:r>
        <w:rPr>
          <w:rFonts w:ascii="Arial" w:cs="Arial" w:eastAsia="Arial" w:hAnsi="Arial"/>
          <w:sz w:val="22"/>
          <w:szCs w:val="22"/>
        </w:rPr>
        <w:t xml:space="preserve">With Set Readable Feature-Class Aliases enabled (the default), each imported feature class keeps its MGCP code as its name — AL015 stays AL015, so the manifest, the Step 1 auto-fill and the feature-class filter all still resolve by code — but gains the alias Building (AL015), which is what ArcGIS Pro shows in Catalog view and in the layer properties. The schema is never modified.</w:t>
      </w:r>
    </w:p>
    <w:p>
      <w:pPr>
        <w:spacing w:after="120"/>
      </w:pPr>
      <w:r>
        <w:rPr>
          <w:rFonts w:ascii="Arial" w:cs="Arial" w:eastAsia="Arial" w:hAnsi="Arial"/>
          <w:b/>
          <w:sz w:val="22"/>
          <w:szCs w:val="22"/>
        </w:rPr>
        <w:t xml:space="preserve">Reusable layer templates.  </w:t>
      </w:r>
      <w:r>
        <w:rPr>
          <w:rFonts w:ascii="Arial" w:cs="Arial" w:eastAsia="Arial" w:hAnsi="Arial"/>
          <w:sz w:val="22"/>
          <w:szCs w:val="22"/>
        </w:rPr>
        <w:t xml:space="preserve">Save Map Group Structure as .lyrx Template(s) writes one .lyrx per group into a Layer_Templates folder beside the output geodatabase. Dragging one of those files onto a new map reapplies the group structure and the readable layer naming, so the Contents pane does not have to be rebuilt by hand for the next delivery.</w:t>
      </w:r>
    </w:p>
    <w:p>
      <w:pPr>
        <w:spacing w:after="120"/>
      </w:pPr>
      <w:r>
        <w:rPr>
          <w:rFonts w:ascii="Arial" w:cs="Arial" w:eastAsia="Arial" w:hAnsi="Arial"/>
          <w:b/>
          <w:sz w:val="22"/>
          <w:szCs w:val="22"/>
        </w:rPr>
        <w:t xml:space="preserve">Scale-dependent detail.  </w:t>
      </w:r>
      <w:r>
        <w:rPr>
          <w:rFonts w:ascii="Arial" w:cs="Arial" w:eastAsia="Arial" w:hAnsi="Arial"/>
          <w:sz w:val="22"/>
          <w:szCs w:val="22"/>
        </w:rPr>
        <w:t xml:space="preserve">Draw Dense Line/Polygon Layers Only Below 1:N is 0 (always visible) by default. Set it to, for example, 10000 and dense line and polygon layers draw only at 1:10,000 or closer, which keeps ArcGIS Pro responsive on a large delivery. Point layers are cheap to draw and are left alone, and road and rail layers are exempt — they are the mobility network, so losing them when zoomed out would defeat the purpose of the map.</w:t>
      </w:r>
    </w:p>
    <w:p>
      <w:pPr>
        <w:pStyle w:val="Heading2"/>
        <w:spacing w:after="100" w:before="280"/>
      </w:pPr>
      <w:r>
        <w:rPr>
          <w:rFonts w:ascii="Arial" w:cs="Arial" w:eastAsia="Arial" w:hAnsi="Arial"/>
          <w:b/>
          <w:bCs/>
          <w:color w:val="2E75B6"/>
          <w:sz w:val="28"/>
          <w:szCs w:val="28"/>
        </w:rPr>
        <w:t xml:space="preserve">2.5.2  Feature codes the catalog does not know (new in v0.56)</w:t>
      </w:r>
    </w:p>
    <w:p>
      <w:pPr>
        <w:spacing w:after="120"/>
      </w:pPr>
      <w:r>
        <w:rPr>
          <w:rFonts w:ascii="Arial" w:cs="Arial" w:eastAsia="Arial" w:hAnsi="Arial"/>
          <w:b/>
          <w:sz w:val="22"/>
          <w:szCs w:val="22"/>
        </w:rPr>
        <w:t xml:space="preserve">What you used to see.  </w:t>
      </w:r>
      <w:r>
        <w:rPr>
          <w:rFonts w:ascii="Arial" w:cs="Arial" w:eastAsia="Arial" w:hAnsi="Arial"/>
          <w:sz w:val="22"/>
          <w:szCs w:val="22"/>
        </w:rPr>
        <w:t xml:space="preserve">Any FACC code missing from the built-in catalog was labelled Unknown feature (XXnnn), and any feature class whose name contains no FACC code at all — the MGCP TRD 4.x thematic deliveries use names such as HydrographySrf and TransportationGroundCrv — fell into the Other theme. On a real delivery that was a large share of the layers.</w:t>
      </w:r>
    </w:p>
    <w:p>
      <w:pPr>
        <w:spacing w:after="120"/>
      </w:pPr>
      <w:r>
        <w:rPr>
          <w:rFonts w:ascii="Arial" w:cs="Arial" w:eastAsia="Arial" w:hAnsi="Arial"/>
          <w:b/>
          <w:sz w:val="22"/>
          <w:szCs w:val="22"/>
        </w:rPr>
        <w:t xml:space="preserve">Five-tier classification.  </w:t>
      </w:r>
      <w:r>
        <w:rPr>
          <w:rFonts w:ascii="Arial" w:cs="Arial" w:eastAsia="Arial" w:hAnsi="Arial"/>
          <w:sz w:val="22"/>
          <w:szCs w:val="22"/>
        </w:rPr>
        <w:t xml:space="preserve">A feature-class name is now resolved in order: your own override file; an exact FACC code match in the built-in catalog; the code's two-letter FACC category; the name's keywords; and finally nothing. The category tier is the important one — the FACC category structure is stable across TRD revisions, so AP999 is reliably a Road / track feature in the Transportation theme even though its exact meaning is not known to the tool. No CCM role is assigned at that tier, because an unverified layer must never feed the mobility model silently. The keyword tier puts the TRD 4.x thematic names into their correct themes.</w:t>
      </w:r>
    </w:p>
    <w:p>
      <w:pPr>
        <w:spacing w:after="120"/>
      </w:pPr>
      <w:r>
        <w:rPr>
          <w:rFonts w:ascii="Arial" w:cs="Arial" w:eastAsia="Arial" w:hAnsi="Arial"/>
          <w:b/>
          <w:sz w:val="22"/>
          <w:szCs w:val="22"/>
        </w:rPr>
        <w:t xml:space="preserve">Naming the rest yourself.  </w:t>
      </w:r>
      <w:r>
        <w:rPr>
          <w:rFonts w:ascii="Arial" w:cs="Arial" w:eastAsia="Arial" w:hAnsi="Arial"/>
          <w:sz w:val="22"/>
          <w:szCs w:val="22"/>
        </w:rPr>
        <w:t xml:space="preserve">At the end of the run Step 0 lists every code that only reached a category match and writes an editable mgcp_catalog_user.csv next to the output geodatabase, pre-seeded with exactly those codes and their themes. Fill in the name column from your own MGCP TRD Feature and Attribute Catalogue and re-run Step 0: the map layers, the aliases and the manifest all pick up your names. Rows you have already filled in are preserved when the template is refreshed. Leave the ccm_role column blank unless you are certain — a wrong role feeds the wrong data into the Step 2 mobility model. The file is also read from the toolbox folder, or from a path in the CCM_MGCP_CATALOG_USER environment variable.</w:t>
      </w:r>
    </w:p>
    <w:p>
      <w:pPr>
        <w:spacing w:after="120"/>
      </w:pPr>
      <w:r>
        <w:rPr>
          <w:rFonts w:ascii="Arial" w:cs="Arial" w:eastAsia="Arial" w:hAnsi="Arial"/>
          <w:b/>
          <w:sz w:val="22"/>
          <w:szCs w:val="22"/>
        </w:rPr>
        <w:t xml:space="preserve">Deliberately not guessed.  </w:t>
      </w:r>
      <w:r>
        <w:rPr>
          <w:rFonts w:ascii="Arial" w:cs="Arial" w:eastAsia="Arial" w:hAnsi="Arial"/>
          <w:sz w:val="22"/>
          <w:szCs w:val="22"/>
        </w:rPr>
        <w:t xml:space="preserve">No human-readable feature names were invented for codes that could not be checked against an authoritative MGCP TRD feature catalogue. A wrong name is worse than an honest category, which is why the override file exists.</w:t>
      </w:r>
    </w:p>
    <w:p>
      <w:pPr>
        <w:pStyle w:val="Heading2"/>
        <w:spacing w:after="100" w:before="280"/>
      </w:pPr>
      <w:r>
        <w:rPr>
          <w:rFonts w:ascii="Arial" w:cs="Arial" w:eastAsia="Arial" w:hAnsi="Arial"/>
          <w:b/>
          <w:bCs/>
          <w:color w:val="2E75B6"/>
          <w:sz w:val="28"/>
          <w:szCs w:val="28"/>
        </w:rPr>
        <w:t xml:space="preserve">2.6  One-Folder Data Root (new in v0.52)</w:t>
      </w:r>
    </w:p>
    <w:p>
      <w:pPr>
        <w:spacing w:after="120"/>
      </w:pPr>
      <w:r>
        <w:rPr>
          <w:rFonts w:ascii="Arial" w:cs="Arial" w:eastAsia="Arial" w:hAnsi="Arial"/>
          <w:sz w:val="22"/>
          <w:szCs w:val="22"/>
        </w:rPr>
        <w:t xml:space="preserve">Instead of browsing to each dataset one by one, place everything under a single parent folder with descriptive subfolder names — for example: MyProject_Data containing MGCP, Soil, DEM, Contours, Vegetation, Hydro, Vehicle and Extent subfolders. Then set the new Data Root Folder parameter on Step 0 and/or Step 1: every input you left empty is filled automatically. Anything you set explicitly is never overwritten.</w:t>
      </w:r>
    </w:p>
    <w:p>
      <w:pPr>
        <w:spacing w:after="120"/>
      </w:pPr>
      <w:r>
        <w:rPr>
          <w:rFonts w:ascii="Arial" w:cs="Arial" w:eastAsia="Arial" w:hAnsi="Arial"/>
          <w:b/>
          <w:sz w:val="22"/>
          <w:szCs w:val="22"/>
        </w:rPr>
        <w:t xml:space="preserve">How detection works.  </w:t>
      </w:r>
      <w:r>
        <w:rPr>
          <w:rFonts w:ascii="Arial" w:cs="Arial" w:eastAsia="Arial" w:hAnsi="Arial"/>
          <w:sz w:val="22"/>
          <w:szCs w:val="22"/>
        </w:rPr>
        <w:t xml:space="preserve">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rPr>
          <w:rFonts w:ascii="Arial" w:cs="Arial" w:eastAsia="Arial" w:hAnsi="Arial"/>
          <w:b/>
          <w:sz w:val="22"/>
          <w:szCs w:val="22"/>
        </w:rPr>
        <w:t xml:space="preserve">When there are duplicates.  </w:t>
      </w:r>
      <w:r>
        <w:rPr>
          <w:rFonts w:ascii="Arial" w:cs="Arial" w:eastAsia="Arial" w:hAnsi="Arial"/>
          <w:sz w:val="22"/>
          <w:szCs w:val="22"/>
        </w:rPr>
        <w:t xml:space="preserve">If two or more datasets exist for the same role, the tool picks the best by expected accuracy and lists the alternatives in the geoprocessing messages: Soil — SSURGO (US) over SLC/DSS (Canada) over SoilGrids (250 m) over HWSD (1 km) over generic; DEM — LiDAR/HRDEM over CDEM/SRTM/ASTER, then finest file; Vegetation — Canada Bio (LAI/fCOVER) over GEDI canopy over WorldCover/NLCD, with all tiles of the winning product loading together; Hydrology — every detected layer loads. Review the auto-filled dialog before running — you can always swap in an alternative manually.</w:t>
      </w:r>
    </w:p>
    <w:p>
      <w:pPr>
        <w:pStyle w:val="Heading1"/>
        <w:pBdr>
          <w:bottom w:val="single" w:color="2E75B6" w:sz="6" w:space="4"/>
        </w:pBdr>
        <w:spacing w:after="120" w:before="360"/>
      </w:pPr>
      <w:r>
        <w:rPr>
          <w:rFonts w:ascii="Arial" w:cs="Arial" w:eastAsia="Arial" w:hAnsi="Arial"/>
          <w:b/>
          <w:bCs/>
          <w:color w:val="1F3864"/>
          <w:sz w:val="32"/>
          <w:szCs w:val="32"/>
        </w:rPr>
        <w:t xml:space="preserve">3.  System Requirements</w:t>
      </w:r>
    </w:p>
    <w:p>
      <w:pPr>
        <w:pStyle w:val="Heading2"/>
        <w:spacing w:after="100" w:before="280"/>
      </w:pPr>
      <w:r>
        <w:rPr>
          <w:rFonts w:ascii="Arial" w:cs="Arial" w:eastAsia="Arial" w:hAnsi="Arial"/>
          <w:b/>
          <w:bCs/>
          <w:color w:val="2E75B6"/>
          <w:sz w:val="28"/>
          <w:szCs w:val="28"/>
        </w:rP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vehicle CSV loading and soil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used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3.3  Data Requirements</w:t>
      </w:r>
    </w:p>
    <w:p>
      <w:pPr>
        <w:spacing w:after="60" w:before="60"/>
      </w:pPr>
      <w:r>
        <w:rPr>
          <w:rFonts w:ascii="Arial" w:cs="Arial" w:eastAsia="Arial" w:hAnsi="Arial"/>
          <w:sz w:val="22"/>
          <w:szCs w:val="22"/>
        </w:rPr>
        <w:t xml:space="preserve">The following data types are needed. At least one soil source and one vegetation source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Improves slope break detection and veg height normalisation.</w:t>
            </w:r>
            <w:r>
              <w:rPr>
                <w:rFonts w:ascii="Arial" w:hAnsi="Arial"/>
                <w:sz w:val="20"/>
              </w:rPr>
              <w:t xml:space="preserve"> Should share the Analysis Extent's Projected CRS (v0.54.0 warns if not).</w:t>
            </w:r>
          </w:p>
        </w:tc>
      </w:tr>
    </w:tbl>
    <w:p>
      <w:r>
        <w:br w:type="page"/>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 xml:space="preserve">4.  Step 1 — Project Setup &amp; Pre-process</w:t>
      </w:r>
    </w:p>
    <w:p>
      <w:pPr>
        <w:spacing w:after="60" w:before="60"/>
      </w:pPr>
      <w:r>
        <w:rPr>
          <w:rFonts w:ascii="Arial" w:cs="Arial" w:eastAsia="Arial" w:hAnsi="Arial"/>
          <w:sz w:val="22"/>
          <w:szCs w:val="22"/>
        </w:rPr>
        <w:t xml:space="preserve">Step 1 is the data-entry step. You run it once per project area. It pre-processes raw soil and vegetation inputs into CCM-ready polygon layers and saves ccm_project.json so all downstream tools auto-populate.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4.1  Parameter Reference</w:t>
      </w:r>
    </w:p>
    <w:p>
      <w:pPr>
        <w:pStyle w:val="Heading3"/>
        <w:spacing w:after="80" w:before="200"/>
      </w:pPr>
      <w:r>
        <w:rPr>
          <w:rFonts w:ascii="Arial" w:cs="Arial" w:eastAsia="Arial" w:hAnsi="Arial"/>
          <w:b/>
          <w:bCs/>
          <w:color w:val="1F3864"/>
          <w:sz w:val="24"/>
          <w:szCs w:val="24"/>
        </w:rPr>
        <w:t xml:space="preserve">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Sets the default for Step 2 and 3 analyses. Options: dry / moist / wet.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soil FC (soilType field), skip pre-processing by entering it here.</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vegetation FC, enter it here to skip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Falls back to safe CCM defaults for unmapped classes.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Note: MODIS and NOAA VH Not Supported</w:t>
            </w:r>
          </w:p>
          <w:p>
            <w:pPr>
              <w:spacing w:after="0" w:before="0"/>
            </w:pPr>
            <w:r>
              <w:rPr>
                <w:rFonts w:ascii="Arial" w:cs="Arial" w:eastAsia="Arial" w:hAnsi="Arial"/>
                <w:sz w:val="22"/>
                <w:szCs w:val="22"/>
              </w:rPr>
              <w:t xml:space="preserve">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4.4  Output: ccm_project.json</w:t>
      </w:r>
    </w:p>
    <w:p>
      <w:pPr>
        <w:spacing w:after="60" w:before="60"/>
      </w:pPr>
      <w:r>
        <w:rPr>
          <w:rFonts w:ascii="Arial" w:cs="Arial" w:eastAsia="Arial" w:hAnsi="Arial"/>
          <w:sz w:val="22"/>
          <w:szCs w:val="22"/>
        </w:rPr>
        <w:t xml:space="preserve">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t xml:space="preserve"/>
      </w:r>
    </w:p>
    <w:p>
      <w:pPr>
        <w:spacing w:after="60" w:before="60"/>
      </w:pPr>
      <w:r>
        <w:rPr>
          <w:rFonts w:ascii="Arial" w:cs="Arial" w:eastAsia="Arial" w:hAnsi="Arial"/>
          <w:sz w:val="22"/>
          <w:szCs w:val="22"/>
        </w:rPr>
        <w:t xml:space="preserve">Key fields saved in ccm_project.json:</w:t>
      </w:r>
    </w:p>
    <w:p>
      <w:pPr>
        <w:pStyle w:val="ListParagraph"/>
        <w:numPr>
          <w:ilvl w:val="0"/>
          <w:numId w:val="2"/>
        </w:numPr>
        <w:spacing w:after="40" w:before="40"/>
      </w:pPr>
      <w:r>
        <w:rPr>
          <w:rFonts w:ascii="Arial" w:cs="Arial" w:eastAsia="Arial" w:hAnsi="Arial"/>
          <w:sz w:val="22"/>
          <w:szCs w:val="22"/>
        </w:rPr>
        <w:t xml:space="preserve">extent_fc, dem_path, slope_fc, contours_fc</w:t>
      </w:r>
    </w:p>
    <w:p>
      <w:pPr>
        <w:pStyle w:val="ListParagraph"/>
        <w:numPr>
          <w:ilvl w:val="0"/>
          <w:numId w:val="2"/>
        </w:numPr>
        <w:spacing w:after="40" w:before="40"/>
      </w:pPr>
      <w:r>
        <w:rPr>
          <w:rFonts w:ascii="Arial" w:cs="Arial" w:eastAsia="Arial" w:hAnsi="Arial"/>
          <w:sz w:val="22"/>
          <w:szCs w:val="22"/>
        </w:rPr>
        <w:t xml:space="preserve">soil_fc, veg_fc, hydro_fcs</w:t>
      </w:r>
    </w:p>
    <w:p>
      <w:pPr>
        <w:pStyle w:val="ListParagraph"/>
        <w:numPr>
          <w:ilvl w:val="0"/>
          <w:numId w:val="2"/>
        </w:numPr>
        <w:spacing w:after="40" w:before="40"/>
      </w:pPr>
      <w:r>
        <w:rPr>
          <w:rFonts w:ascii="Arial" w:cs="Arial" w:eastAsia="Arial" w:hAnsi="Arial"/>
          <w:sz w:val="22"/>
          <w:szCs w:val="22"/>
        </w:rPr>
        <w:t xml:space="preserve">vehicle_csv, moisture_default</w:t>
      </w:r>
    </w:p>
    <w:p>
      <w:pPr>
        <w:pStyle w:val="ListParagraph"/>
        <w:numPr>
          <w:ilvl w:val="0"/>
          <w:numId w:val="2"/>
        </w:numPr>
        <w:spacing w:after="40" w:before="40"/>
      </w:pPr>
      <w:r>
        <w:rPr>
          <w:rFonts w:ascii="Arial" w:cs="Arial" w:eastAsia="Arial" w:hAnsi="Arial"/>
          <w:sz w:val="22"/>
          <w:szCs w:val="22"/>
        </w:rPr>
        <w:t xml:space="preserve">project_folder, project_gdb</w:t>
      </w:r>
    </w:p>
    <w:p>
      <w:pPr>
        <w:pStyle w:val="ListParagraph"/>
        <w:numPr>
          <w:ilvl w:val="0"/>
          <w:numId w:val="2"/>
        </w:numPr>
        <w:spacing w:after="40" w:before="40"/>
      </w:pPr>
      <w:r>
        <w:rPr>
          <w:rFonts w:ascii="Arial" w:cs="Arial" w:eastAsia="Arial" w:hAnsi="Arial"/>
          <w:sz w:val="22"/>
          <w:szCs w:val="22"/>
        </w:rPr>
        <w:t xml:space="preserve">mobility_map_fc (written by Step 2)</w:t>
      </w:r>
    </w:p>
    <w:p>
      <w:pPr>
        <w:pStyle w:val="ListParagraph"/>
        <w:numPr>
          <w:ilvl w:val="0"/>
          <w:numId w:val="2"/>
        </w:numPr>
        <w:spacing w:after="40" w:before="40"/>
      </w:pPr>
      <w:r>
        <w:rPr>
          <w:rFonts w:ascii="Arial" w:cs="Arial" w:eastAsia="Arial" w:hAnsi="Arial"/>
          <w:sz w:val="22"/>
          <w:szCs w:val="22"/>
        </w:rPr>
        <w:t xml:space="preserve">ccm_version, created, last_updated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Step 2 — Generate Mobility Map</w:t>
      </w:r>
    </w:p>
    <w:p>
      <w:pPr>
        <w:spacing w:after="60" w:before="60"/>
      </w:pPr>
      <w:r>
        <w:rPr>
          <w:rFonts w:ascii="Arial" w:cs="Arial" w:eastAsia="Arial" w:hAnsi="Arial"/>
          <w:sz w:val="22"/>
          <w:szCs w:val="22"/>
        </w:rPr>
        <w:t xml:space="preserve">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t xml:space="preserve"/>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 xml:space="preserve">5.1  What Step 2 Produces</w:t>
      </w:r>
    </w:p>
    <w:p>
      <w:pPr>
        <w:spacing w:after="60" w:before="60"/>
      </w:pPr>
      <w:r>
        <w:rPr>
          <w:rFonts w:ascii="Arial" w:cs="Arial" w:eastAsia="Arial" w:hAnsi="Arial"/>
          <w:sz w:val="22"/>
          <w:szCs w:val="22"/>
        </w:rPr>
        <w:t xml:space="preserve">The output is a polygon feature class (stored in CCM_Project.gdb) with the following key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Stochastic probability of GO (0.0–1.0). Present only when Enable Stochastic P(GO) is checked. Derived from 200 Monte Carlo trials perturbing RCI (CV=0.15) and slope (CV=0.10). See Section 7.6.</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5.2  Supported Vehicles</w:t>
      </w:r>
    </w:p>
    <w:p>
      <w:pPr>
        <w:spacing w:after="60" w:before="60"/>
      </w:pPr>
      <w:r>
        <w:rPr>
          <w:rFonts w:ascii="Arial" w:cs="Arial" w:eastAsia="Arial" w:hAnsi="Arial"/>
          <w:sz w:val="22"/>
          <w:szCs w:val="22"/>
        </w:rPr>
        <w:t xml:space="preserve">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5.3  Vehicle CSV Format</w:t>
      </w:r>
    </w:p>
    <w:p>
      <w:pPr>
        <w:spacing w:after="60" w:before="60"/>
      </w:pPr>
      <w:r>
        <w:rPr>
          <w:rFonts w:ascii="Arial" w:cs="Arial" w:eastAsia="Arial" w:hAnsi="Arial"/>
          <w:sz w:val="22"/>
          <w:szCs w:val="22"/>
        </w:rPr>
        <w:t xml:space="preserve">To add custom vehicles, edit or replace Vehicles_Can.csv. The CSV must have a header row with the following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 xml:space="preserve">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Important</w:t>
            </w:r>
          </w:p>
          <w:p>
            <w:pPr>
              <w:spacing w:after="0" w:before="0"/>
            </w:pPr>
            <w:r>
              <w:rPr>
                <w:rFonts w:ascii="Arial" w:cs="Arial" w:eastAsia="Arial" w:hAnsi="Arial"/>
                <w:sz w:val="22"/>
                <w:szCs w:val="22"/>
              </w:rPr>
              <w:t xml:space="preserve">If a column value is not applicable or unknown, leave the cell blank. Do not enter 0 unless the true value is zero, as 0 may be interpreted as an impassability condition in some factors.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Step 3 — Advanced Analysis</w:t>
      </w:r>
    </w:p>
    <w:p>
      <w:pPr>
        <w:spacing w:after="60" w:before="60"/>
      </w:pPr>
      <w:r>
        <w:rPr>
          <w:rFonts w:ascii="Arial" w:cs="Arial" w:eastAsia="Arial" w:hAnsi="Arial"/>
          <w:sz w:val="22"/>
          <w:szCs w:val="22"/>
        </w:rPr>
        <w:t xml:space="preserve">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6.1  Analysis A — Reason Map</w:t>
      </w:r>
    </w:p>
    <w:p>
      <w:pPr>
        <w:spacing w:after="60" w:before="60"/>
      </w:pPr>
      <w:r>
        <w:rPr>
          <w:rFonts w:ascii="Arial" w:cs="Arial" w:eastAsia="Arial" w:hAnsi="Arial"/>
          <w:sz w:val="22"/>
          <w:szCs w:val="22"/>
        </w:rPr>
        <w:t xml:space="preserve">The Reason Map answers the question: “Why is this polygon red (No Go)?” It inspects the F1–F5 factor values for every polygon and writes a plain-English explanation to a new field called NO_GO_REASON.</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Numeric code for quick symbology. 0=GO, 1=Restricted, 2=No Go–Slope, 3=No Go–Soil, 4=No Go–Water, 5=No Go–Vegetation, 6=No Go–Multiple, 9=Missing Data.</w:t>
            </w:r>
          </w:p>
        </w:tc>
      </w:tr>
    </w:tbl>
    <w:p>
      <w:pPr>
        <w:spacing w:after="80" w:before="80"/>
      </w:pPr>
      <w:r>
        <w:t xml:space="preserve"/>
      </w:r>
    </w:p>
    <w:p>
      <w:pPr>
        <w:spacing w:after="60" w:before="60"/>
      </w:pPr>
      <w:r>
        <w:rPr>
          <w:rFonts w:ascii="Arial" w:cs="Arial" w:eastAsia="Arial" w:hAnsi="Arial"/>
          <w:sz w:val="22"/>
          <w:szCs w:val="22"/>
        </w:rPr>
        <w:t xml:space="preserve">After running, click any polygon in ArcGIS Pro and read NO_GO_REASON in the pop-up / Identify Results panel. This is particularly useful for briefings and obstacle reports.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6.2  Analysis B — Reachability Map (Isochrone)</w:t>
      </w:r>
    </w:p>
    <w:p>
      <w:pPr>
        <w:spacing w:after="60" w:before="60"/>
      </w:pPr>
      <w:r>
        <w:rPr>
          <w:rFonts w:ascii="Arial" w:cs="Arial" w:eastAsia="Arial" w:hAnsi="Arial"/>
          <w:sz w:val="22"/>
          <w:szCs w:val="22"/>
        </w:rPr>
        <w:t xml:space="preserve">The Reachability Map draws rings showing how far a vehicle can travel in a given time from a start point, accounting for terrain speed. It is also called an Isochrone map.</w:t>
      </w:r>
    </w:p>
    <w:p>
      <w:pPr>
        <w:spacing w:after="80" w:before="80"/>
      </w:pPr>
      <w:r>
        <w:t xml:space="preserve"/>
      </w:r>
    </w:p>
    <w:p>
      <w:pPr>
        <w:spacing w:after="60" w:before="60"/>
      </w:pPr>
      <w:r>
        <w:rPr>
          <w:rFonts w:ascii="Arial" w:cs="Arial" w:eastAsia="Arial" w:hAnsi="Arial"/>
          <w:sz w:val="22"/>
          <w:szCs w:val="22"/>
        </w:rPr>
        <w:t xml:space="preserve">The tool uses DistanceAccumulation (ArcGIS Pro 3.5+) for maximum performance, with automatic fallback to CostDistance on older installations.</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speed field in the speed surface FC (default: SpeedKMH).</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p>
      <w:pPr>
        <w:spacing w:after="60" w:before="60"/>
      </w:pPr>
      <w:r>
        <w:rPr>
          <w:rFonts w:ascii="Arial" w:cs="Arial" w:eastAsia="Arial" w:hAnsi="Arial"/>
          <w:sz w:val="22"/>
          <w:szCs w:val="22"/>
        </w:rPr>
        <w:t xml:space="preserve">A polygon feature class with one ring per time interval, labelled with TIME_BAND, MAX_MIN (maximum minutes), and BAND_ORDER fields. Apply the included symbology to display rings in graduated colours.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6.3  Analysis C — Vehicle Comparison</w:t>
      </w:r>
    </w:p>
    <w:p>
      <w:pPr>
        <w:spacing w:after="60" w:before="60"/>
      </w:pPr>
      <w:r>
        <w:rPr>
          <w:rFonts w:ascii="Arial" w:cs="Arial" w:eastAsia="Arial" w:hAnsi="Arial"/>
          <w:sz w:val="22"/>
          <w:szCs w:val="22"/>
        </w:rPr>
        <w:t xml:space="preserve">The Vehicle Comparison analysis overlays the speed surfaces of two vehicles and classifies each polygon into one of four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 vehicle can cross. Absolute No Go for both.</w:t>
            </w:r>
          </w:p>
        </w:tc>
      </w:tr>
    </w:tbl>
    <w:p>
      <w:pPr>
        <w:spacing w:after="80" w:before="80"/>
      </w:pPr>
      <w:r>
        <w:t xml:space="preserve"/>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label (GO / SLOW GO / NO GO) for each vehicle.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Run Step 2 once per vehicle before running Vehicle Comparison. The comparison dropdown in Step 3 is populated from mobility_map_fc entries recorded in ccm_project.json.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6.4  Analysis D — Obstacle Detection</w:t>
      </w:r>
    </w:p>
    <w:p>
      <w:pPr>
        <w:spacing w:after="60" w:before="60"/>
      </w:pPr>
      <w:r>
        <w:rPr>
          <w:rFonts w:ascii="Arial" w:cs="Arial" w:eastAsia="Arial" w:hAnsi="Arial"/>
          <w:sz w:val="22"/>
          <w:szCs w:val="22"/>
        </w:rPr>
        <w:t xml:space="preserve">Obstacle Detection scans for micro-obstacles that are too small to appear in standard CCM polygon layers but large enough to stop or damage a vehicle. Three obstacle types are detected: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(always requires manual verification)</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Name of the input layer from which this obstacle was detected.</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crossings narrower than this are flagged as gaps.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6.5  Analysis E — Waypoint Route</w:t>
      </w:r>
    </w:p>
    <w:p>
      <w:pPr>
        <w:spacing w:after="60" w:before="60"/>
      </w:pPr>
      <w:r>
        <w:rPr>
          <w:rFonts w:ascii="Arial" w:cs="Arial" w:eastAsia="Arial" w:hAnsi="Arial"/>
          <w:sz w:val="22"/>
          <w:szCs w:val="22"/>
        </w:rPr>
        <w:t xml:space="preserve">Waypoint Route finds the time-optimal (fastest) route between a start point and an end point, respecting the terrain speed constraints computed in Step 2.</w:t>
      </w:r>
    </w:p>
    <w:p>
      <w:pPr>
        <w:spacing w:after="80" w:before="80"/>
      </w:pPr>
      <w:r>
        <w:t xml:space="preserve"/>
      </w:r>
    </w:p>
    <w:p>
      <w:pPr>
        <w:spacing w:after="60" w:before="60"/>
      </w:pPr>
      <w:r>
        <w:rPr>
          <w:rFonts w:ascii="Arial" w:cs="Arial" w:eastAsia="Arial" w:hAnsi="Arial"/>
          <w:sz w:val="22"/>
          <w:szCs w:val="22"/>
        </w:rPr>
        <w:t xml:space="preserve">If a start or end point falls in a No-Go zone, the tool automatically searches within a 500 m radius for the nearest passable location and snaps the point there before routing.</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Algorithm</w:t>
      </w:r>
    </w:p>
    <w:p>
      <w:pPr>
        <w:spacing w:after="60" w:before="60"/>
      </w:pPr>
      <w:r>
        <w:rPr>
          <w:rFonts w:ascii="Arial" w:cs="Arial" w:eastAsia="Arial" w:hAnsi="Arial"/>
          <w:sz w:val="22"/>
          <w:szCs w:val="22"/>
        </w:rPr>
        <w:t xml:space="preserve">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distance (m and km), estimated travel time per vehicle, list of vehicles that can complete the route, and reasons any vehicle cannot complete it.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Coordinate Entry for Start / End Points</w:t>
      </w:r>
    </w:p>
    <w:p>
      <w:pPr>
        <w:spacing w:after="60" w:before="60"/>
      </w:pPr>
      <w:r>
        <w:rPr>
          <w:rFonts w:ascii="Arial" w:cs="Arial" w:eastAsia="Arial" w:hAnsi="Arial"/>
          <w:sz w:val="22"/>
          <w:szCs w:val="22"/>
        </w:rPr>
        <w:t xml:space="preserve">All five coordinate formats are accepted. The tool auto-detects the format and converts to the project CRS: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Live Weather Integration</w:t>
      </w:r>
    </w:p>
    <w:p>
      <w:pPr>
        <w:spacing w:after="60" w:before="60"/>
      </w:pPr>
      <w:r>
        <w:rPr>
          <w:rFonts w:ascii="Arial" w:cs="Arial" w:eastAsia="Arial" w:hAnsi="Arial"/>
          <w:sz w:val="22"/>
          <w:szCs w:val="22"/>
        </w:rPr>
        <w:t xml:space="preserve">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Free fallback. No API key required. Used automatically if Living Atlas is unavailable or no nearby station is found.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7.2  Rainfall → RCI Adjustment Model</w:t>
      </w:r>
    </w:p>
    <w:p>
      <w:pPr>
        <w:spacing w:after="60" w:before="60"/>
      </w:pPr>
      <w:r>
        <w:rPr>
          <w:rFonts w:ascii="Arial" w:cs="Arial" w:eastAsia="Arial" w:hAnsi="Arial"/>
          <w:sz w:val="22"/>
          <w:szCs w:val="22"/>
        </w:rPr>
        <w:t xml:space="preserve">The rainfall penalty model follows NATO STANAG 4234 and US Army FM 5-170 trafficability guidelines. A multiplicative factor is applied to base RCI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heavy rain / storm</w:t>
            </w:r>
          </w:p>
        </w:tc>
      </w:tr>
    </w:tbl>
    <w:p>
      <w:pPr>
        <w:spacing w:after="80" w:before="80"/>
      </w:pPr>
      <w:r>
        <w:t xml:space="preserve"/>
      </w:r>
    </w:p>
    <w:p>
      <w:pPr>
        <w:spacing w:after="60" w:before="60"/>
      </w:pPr>
      <w:r>
        <w:rPr>
          <w:rFonts w:ascii="Arial" w:cs="Arial" w:eastAsia="Arial" w:hAnsi="Arial"/>
          <w:sz w:val="22"/>
          <w:szCs w:val="22"/>
        </w:rPr>
        <w:t xml:space="preserve">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 xml:space="preserve">7.3  Calibrating Soil Strength (soil_rci.csv)</w:t>
      </w:r>
    </w:p>
    <w:p>
      <w:pPr>
        <w:spacing w:after="80" w:before="80"/>
      </w:pPr>
      <w:r>
        <w:rPr>
          <w:rFonts w:ascii="Arial" w:cs="Arial" w:eastAsia="Arial" w:hAnsi="Arial"/>
          <w:sz w:val="22"/>
          <w:szCs w:val="22"/>
        </w:rPr>
        <w:t xml:space="preserve">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 xml:space="preserve">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 xml:space="preserve">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 xml:space="preserve">Example summary output (Geoprocessing Messages pane):</w:t>
      </w:r>
    </w:p>
    <w:p>
      <w:pPr>
        <w:spacing w:after="40" w:before="40"/>
        <w:ind w:left="720"/>
      </w:pPr>
      <w:r>
        <w:rPr>
          <w:rFonts w:ascii="Courier New" w:cs="Courier New" w:hAnsi="Courier New"/>
          <w:sz w:val="18"/>
          <w:szCs w:val="18"/>
          <w:color w:val="404040"/>
        </w:rPr>
        <w:t xml:space="preserve">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 xml:space="preserve">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 xml:space="preserve">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 xml:space="preserve">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 xml:space="preserve">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 xml:space="preserve">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 xml:space="preserve">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 xml:space="preserve">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Output Reference</w:t>
      </w:r>
    </w:p>
    <w:p>
      <w:pPr>
        <w:pStyle w:val="Heading2"/>
        <w:spacing w:after="100" w:before="280"/>
      </w:pPr>
      <w:r>
        <w:rPr>
          <w:rFonts w:ascii="Arial" w:cs="Arial" w:eastAsia="Arial" w:hAnsi="Arial"/>
          <w:b/>
          <w:bCs/>
          <w:color w:val="2E75B6"/>
          <w:sz w:val="28"/>
          <w:szCs w:val="28"/>
        </w:rPr>
        <w:t xml:space="preserve">8.1  Project Folder Structure</w:t>
      </w:r>
    </w:p>
    <w:p>
      <w:pPr>
        <w:spacing w:after="60" w:before="60"/>
      </w:pPr>
      <w:r>
        <w:rPr>
          <w:rFonts w:ascii="Arial" w:cs="Arial" w:eastAsia="Arial" w:hAnsi="Arial"/>
          <w:sz w:val="22"/>
          <w:szCs w:val="22"/>
        </w:rPr>
        <w:t xml:space="preserve">After running Steps 1 and 2, your project folder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Project configuration file. Human-readable 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8.2  Applying Symbology</w:t>
      </w:r>
    </w:p>
    <w:p>
      <w:pPr>
        <w:spacing w:after="60" w:before="60"/>
      </w:pPr>
      <w:r>
        <w:rPr>
          <w:rFonts w:ascii="Arial" w:cs="Arial" w:eastAsia="Arial" w:hAnsi="Arial"/>
          <w:sz w:val="22"/>
          <w:szCs w:val="22"/>
        </w:rPr>
        <w:t xml:space="preserve">The tool ships with two ArcGIS layer files in the Symbology\ folder: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 xml:space="preserve">Mobility_Symbology_Final.lyrx — Refined symbology with additional annotation support.</w:t>
      </w:r>
    </w:p>
    <w:p>
      <w:pPr>
        <w:spacing w:after="80" w:before="80"/>
      </w:pPr>
      <w:r>
        <w:t xml:space="preserve"/>
      </w:r>
    </w:p>
    <w:p>
      <w:pPr>
        <w:spacing w:after="60" w:before="60"/>
      </w:pPr>
      <w:r>
        <w:rPr>
          <w:rFonts w:ascii="Arial" w:cs="Arial" w:eastAsia="Arial" w:hAnsi="Arial"/>
          <w:sz w:val="22"/>
          <w:szCs w:val="22"/>
        </w:rPr>
        <w:t xml:space="preserve">To apply: In the Contents pane, right-click the speed surface layer → Symbology → Import symbology → select the .lyrx file → match on the Mobility field (values GO / RESTRICTED /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8.3  USCS Soil Classification Codes</w:t>
      </w:r>
    </w:p>
    <w:p>
      <w:pPr>
        <w:spacing w:after="60" w:before="60"/>
      </w:pPr>
      <w:r>
        <w:rPr>
          <w:rFonts w:ascii="Arial" w:cs="Arial" w:eastAsia="Arial" w:hAnsi="Arial"/>
          <w:sz w:val="22"/>
          <w:szCs w:val="22"/>
        </w:rPr>
        <w:t xml:space="preserve">The soilType field contains two-letter USCS (Unified Soil Classification System) codes. The CCM tool uses VCI (Vehicle Cone Index) values derived from these codes to compute soil trafficability.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(gap-filled default)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Troubleshooting</w:t>
      </w:r>
    </w:p>
    <w:p>
      <w:pPr>
        <w:pStyle w:val="Heading2"/>
        <w:spacing w:after="100" w:before="280"/>
      </w:pPr>
      <w:r>
        <w:rPr>
          <w:rFonts w:ascii="Arial" w:cs="Arial" w:eastAsia="Arial" w:hAnsi="Arial"/>
          <w:b/>
          <w:bCs/>
          <w:color w:val="2E75B6"/>
          <w:sz w:val="28"/>
          <w:szCs w:val="28"/>
        </w:rPr>
        <w:t xml:space="preserve">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CCM_Tool_v0.56.0.pyt.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9.2  Performance Tips</w:t>
      </w:r>
    </w:p>
    <w:p>
      <w:pPr>
        <w:pStyle w:val="ListParagraph"/>
        <w:numPr>
          <w:ilvl w:val="0"/>
          <w:numId w:val="2"/>
        </w:numPr>
        <w:spacing w:after="40" w:before="40"/>
      </w:pPr>
      <w:r>
        <w:rPr>
          <w:rFonts w:ascii="Arial" w:cs="Arial" w:eastAsia="Arial" w:hAnsi="Arial"/>
          <w:sz w:val="22"/>
          <w:szCs w:val="22"/>
        </w:rPr>
        <w:t xml:space="preserve">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 xml:space="preserve">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 xml:space="preserve">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 xml:space="preserve">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 xml:space="preserve">The project GDB can accumulate intermediate data over time. Delete unused layers from CCM_Project.gdb periodically to reclaim disk space.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9.3  Log Messages</w:t>
      </w:r>
    </w:p>
    <w:p>
      <w:pPr>
        <w:spacing w:after="60" w:before="60"/>
      </w:pPr>
      <w:r>
        <w:rPr>
          <w:rFonts w:ascii="Arial" w:cs="Arial" w:eastAsia="Arial" w:hAnsi="Arial"/>
          <w:sz w:val="22"/>
          <w:szCs w:val="22"/>
        </w:rPr>
        <w:t xml:space="preserve">All tool messages appear in the ArcGIS Pro Geoprocessing Messages pane. Messages are prefixed with the tool name for easy filtering: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 reachability module</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Technical Reference (GIS Analysts)</w:t>
      </w:r>
    </w:p>
    <w:p>
      <w:pPr>
        <w:pStyle w:val="Heading2"/>
        <w:spacing w:after="100" w:before="280"/>
      </w:pPr>
      <w:r>
        <w:rPr>
          <w:rFonts w:ascii="Arial" w:cs="Arial" w:eastAsia="Arial" w:hAnsi="Arial"/>
          <w:b/>
          <w:bCs/>
          <w:color w:val="2E75B6"/>
          <w:sz w:val="28"/>
          <w:szCs w:val="28"/>
        </w:rPr>
        <w:t xml:space="preserve">10.1  Module Architecture</w:t>
      </w:r>
    </w:p>
    <w:p>
      <w:pPr>
        <w:spacing w:after="60" w:before="60"/>
      </w:pPr>
      <w:r>
        <w:rPr>
          <w:rFonts w:ascii="Arial" w:cs="Arial" w:eastAsia="Arial" w:hAnsi="Arial"/>
          <w:sz w:val="22"/>
          <w:szCs w:val="22"/>
        </w:rPr>
        <w:t xml:space="preserve">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CCM_Tool_v0.56.0.pyt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Validates soilType field content; reports and corrects invalid USCS codes.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10.2  VCI → Soil Factor Derivation</w:t>
      </w:r>
    </w:p>
    <w:p>
      <w:pPr>
        <w:spacing w:after="60" w:before="60"/>
      </w:pPr>
      <w:r>
        <w:rPr>
          <w:rFonts w:ascii="Arial" w:cs="Arial" w:eastAsia="Arial" w:hAnsi="Arial"/>
          <w:sz w:val="22"/>
          <w:szCs w:val="22"/>
        </w:rPr>
        <w:t xml:space="preserve">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t xml:space="preserve"/>
      </w:r>
    </w:p>
    <w:p>
      <w:pPr>
        <w:spacing w:after="80" w:before="80"/>
        <w:jc w:val="center"/>
      </w:pPr>
      <w:r>
        <w:rPr>
          <w:rFonts w:ascii="Courier New" w:cs="Courier New" w:eastAsia="Courier New" w:hAnsi="Courier New"/>
          <w:color w:val="1F3864"/>
          <w:sz w:val="20"/>
          <w:szCs w:val="20"/>
        </w:rPr>
        <w:t xml:space="preserve">F_soil = 0 if RCI &lt; VCI_1;  F_soil = 1 if RCI ≥ VCI_50;  otherwise F_soil = (RCI − VCI_1) / (VCI_50 − VCI_1)</w:t>
      </w:r>
    </w:p>
    <w:p>
      <w:pPr>
        <w:spacing w:after="60" w:before="60"/>
      </w:pPr>
      <w:r>
        <w:rPr>
          <w:rFonts w:ascii="Arial" w:cs="Arial" w:eastAsia="Arial" w:hAnsi="Arial"/>
          <w:sz w:val="22"/>
          <w:szCs w:val="22"/>
        </w:rPr>
        <w:t xml:space="preserve">If RCI ≥ VCI_required, the soil is trafficable (F = 1.0). If RCI &lt; VCI_required, the factor is proportionally reduced. If RCI &lt; VCI_1 (single-pass requirement), F = 0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10.3  Vegetation Factor Derivation</w:t>
      </w:r>
    </w:p>
    <w:p>
      <w:pPr>
        <w:spacing w:after="60" w:before="60"/>
      </w:pPr>
      <w:r>
        <w:rPr>
          <w:rFonts w:ascii="Arial" w:cs="Arial" w:eastAsia="Arial" w:hAnsi="Arial"/>
          <w:sz w:val="22"/>
          <w:szCs w:val="22"/>
        </w:rPr>
        <w:t xml:space="preserve">F2 is derived directly from the VTI (Vegetation Traffic Impact) value of each polygon: F2 = 1 − VTI. VTI = 0 means no impedance (open ground); VTI = 1 means impassable vegetation.</w:t>
      </w:r>
    </w:p>
    <w:p>
      <w:pPr>
        <w:spacing w:after="80" w:before="80"/>
      </w:pPr>
      <w:r>
        <w:t xml:space="preserve"/>
      </w:r>
    </w:p>
    <w:p>
      <w:pPr>
        <w:spacing w:after="60" w:before="60"/>
      </w:pPr>
      <w:r>
        <w:rPr>
          <w:rFonts w:ascii="Arial" w:cs="Arial" w:eastAsia="Arial" w:hAnsi="Arial"/>
          <w:sz w:val="22"/>
          <w:szCs w:val="22"/>
        </w:rPr>
        <w:t xml:space="preserve">F3 accounts for tree spacing and stem diameter relative to vehicle width. If treeSpacing ≤ vehicle_width or stemDiameter ≥ max_override_diameter, F3 is reduced or set to 0.</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200"/>
          </w:tcPr>
          <w:p>
            <w:r>
              <w:t>0.56.0</w:t>
            </w:r>
          </w:p>
        </w:tc>
        <w:tc>
          <w:tcPr>
            <w:tcW w:type="dxa" w:w="1400"/>
          </w:tcPr>
          <w:p>
            <w:r>
              <w:t>August 2026</w:t>
            </w:r>
          </w:p>
        </w:tc>
        <w:tc>
          <w:tcPr>
            <w:tcW w:type="dxa" w:w="6760"/>
          </w:tcPr>
          <w:p>
            <w:r>
              <w:t>Step 0 (Load MGCP Data) usability release — no change to the Step 1/2/3/4 mobility model or its outputs. Imported layers now group into three map groups, Point / Line / Polygon, instead of one group per MGCP theme (new Group Layers in Map By parameter, Section 2.5.1). The “Unknown feature” labels are gone: an uncatalogued FACC code now falls back to its two-letter FACC category and code-less TRD 4.x names are classified by keyword, with an editable mgcp_catalog_user.csv written beside the output geodatabase so you can supply exact names from your own TRD catalogue (Section 2.5.2). Feature classes keep their MGCP code name but gain a readable alias; the group structure can be saved as reusable .lyrx templates; dense line/polygon layers can be given a scale threshold. The missing-.prj repair now runs before reprojection instead of after it. See CHANGELOG_v0.56.md.</w:t>
            </w:r>
          </w:p>
        </w:tc>
      </w:tr>
      <w:tr>
        <w:tc>
          <w:tcPr>
            <w:tcW w:type="dxa" w:w="1200"/>
          </w:tcPr>
          <w:p>
            <w:r>
              <w:t>0.55.1</w:t>
            </w:r>
          </w:p>
        </w:tc>
        <w:tc>
          <w:tcPr>
            <w:tcW w:type="dxa" w:w="1400"/>
          </w:tcPr>
          <w:p>
            <w:r>
              <w:t>August 2026</w:t>
            </w:r>
          </w:p>
        </w:tc>
        <w:tc>
          <w:tcPr>
            <w:tcW w:type="dxa" w:w="6760"/>
          </w:tcPr>
          <w:p>
            <w:r>
              <w:t>Version-bump release. Added QUICK_START.html (a styled HTML rendering of QUICK_START.md, now packaged in the release zip) and CCM_anaconda_environment.bat (creates/verifies the dedicated Anaconda test environment on its own, as a companion setup step to RUN_LOCAL_VERIFICATION.bat; not packaged). No toolbox/geoprocessing logic changed. Preceded by a thorough scrub of v0.55.0 removing all remaining pre-rename organization/product-name references and verifying the exact copyright header project-wide. See CHANGELOG_v0.55.md.</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CHANGELOG_v0.55.md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 xml:space="preserve">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 xml:space="preserve">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 xml:space="preserve">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 xml:space="preserve">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 xml:space="preserve">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 xml:space="preserve">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 xml:space="preserve">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 xml:space="preserve">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 xml:space="preserve">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 xml:space="preserve">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public release. Full three-step workflow. Six soil sources, six vegetation sources. Five Step 3 analyses.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A — Supported Coordinate Formats</w:t>
      </w:r>
    </w:p>
    <w:p>
      <w:pPr>
        <w:spacing w:after="60" w:before="60"/>
      </w:pPr>
      <w:r>
        <w:rPr>
          <w:rFonts w:ascii="Arial" w:cs="Arial" w:eastAsia="Arial" w:hAnsi="Arial"/>
          <w:sz w:val="22"/>
          <w:szCs w:val="22"/>
        </w:rPr>
        <w:t xml:space="preserve">The tool accepts start and end point coordinates in any of the following formats. The format is auto-detected; no selection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pPr>
        <w:spacing w:after="80" w:before="80"/>
      </w:pPr>
      <w:r>
        <w:t xml:space="preserve"/>
      </w:r>
    </w:p>
    <w:p>
      <w:pPr>
        <w:spacing w:after="60" w:before="60"/>
      </w:pPr>
      <w:r>
        <w:rPr>
          <w:rFonts w:ascii="Arial" w:cs="Arial" w:eastAsia="Arial" w:hAnsi="Arial"/>
          <w:sz w:val="22"/>
          <w:szCs w:val="22"/>
        </w:rPr>
        <w:t xml:space="preserve">The tool also displays coordinate equivalents in all formats in the “Coordinate Equivalents” read-only field immediately below the entry field, allowing operators to confirm their input before running.</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B — USCS Soil Classification Reference</w:t>
      </w:r>
    </w:p>
    <w:p>
      <w:pPr>
        <w:spacing w:after="60" w:before="60"/>
      </w:pPr>
      <w:r>
        <w:rPr>
          <w:rFonts w:ascii="Arial" w:cs="Arial" w:eastAsia="Arial" w:hAnsi="Arial"/>
          <w:sz w:val="22"/>
          <w:szCs w:val="22"/>
        </w:rPr>
        <w:t xml:space="preserve">The following table summarises all USCS codes used in the soilType field, their soil descriptions, typical RCI ranges, and general CCM applicability.</w:t>
      </w:r>
    </w:p>
    <w:p>
      <w:pPr>
        <w:spacing w:after="8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v0.56.0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v0.56.0 -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