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p>
    <w:p>
      <w:pPr>
        <w:spacing w:after="120" w:before="0"/>
        <w:jc w:val="center"/>
      </w:pPr>
      <w:r>
        <w:rPr>
          <w:rFonts w:ascii="Arial" w:cs="Arial" w:eastAsia="Arial" w:hAnsi="Arial"/>
          <w:b/>
          <w:bCs/>
          <w:color w:val="1F3864"/>
          <w:sz w:val="64"/>
          <w:szCs w:val="64"/>
        </w:rPr>
        <w:t>CCM TOOL</w:t>
      </w:r>
    </w:p>
    <w:p>
      <w:pPr>
        <w:spacing w:after="480" w:before="0"/>
        <w:jc w:val="center"/>
      </w:pPr>
      <w:r>
        <w:rPr>
          <w:rFonts w:ascii="Arial" w:cs="Arial" w:eastAsia="Arial" w:hAnsi="Arial"/>
          <w:color w:val="2E75B6"/>
          <w:sz w:val="32"/>
          <w:szCs w:val="32"/>
        </w:rPr>
        <w:t>Cross-Country Mobility Tool</w:t>
      </w:r>
    </w:p>
    <w:p>
      <w:pPr>
        <w:spacing w:after="120" w:before="0"/>
        <w:jc w:val="center"/>
      </w:pPr>
      <w:r>
        <w:rPr>
          <w:rFonts w:ascii="Arial" w:cs="Arial" w:eastAsia="Arial" w:hAnsi="Arial"/>
          <w:b/>
          <w:bCs/>
          <w:color w:val="1F3864"/>
          <w:sz w:val="40"/>
          <w:szCs w:val="40"/>
        </w:rPr>
        <w:t>User Manual</w:t>
      </w:r>
    </w:p>
    <w:p>
      <w:pPr>
        <w:spacing w:after="720" w:before="0"/>
        <w:jc w:val="center"/>
      </w:pPr>
      <w:r>
        <w:rPr>
          <w:rFonts w:ascii="Arial" w:cs="Arial" w:eastAsia="Arial" w:hAnsi="Arial"/>
          <w:color w:val="2E75B6"/>
          <w:sz w:val="28"/>
          <w:szCs w:val="28"/>
        </w:rPr>
        <w:t>Version 0.57</w:t>
      </w:r>
    </w:p>
    <w:p>
      <w:pPr>
        <w:pBdr>
          <w:bottom w:val="single" w:color="CCCCCC" w:sz="4" w:space="2"/>
        </w:pBdr>
        <w:spacing w:after="120" w:before="120"/>
      </w:pPr>
      <w:r/>
    </w:p>
    <w:p>
      <w:pPr>
        <w:spacing w:after="60" w:before="240"/>
        <w:jc w:val="center"/>
      </w:pPr>
      <w:r>
        <w:rPr>
          <w:rFonts w:ascii="Arial" w:cs="Arial" w:eastAsia="Arial" w:hAnsi="Arial"/>
          <w:color w:val="555555"/>
          <w:sz w:val="24"/>
          <w:szCs w:val="24"/>
        </w:rPr>
        <w:t>ArcGIS Pro Python Toolbox</w:t>
      </w:r>
    </w:p>
    <w:p>
      <w:pPr>
        <w:spacing w:after="60" w:before="0"/>
        <w:jc w:val="center"/>
      </w:pPr>
      <w:r>
        <w:rPr>
          <w:rFonts w:ascii="Arial" w:cs="Arial" w:eastAsia="Arial" w:hAnsi="Arial"/>
          <w:color w:val="555555"/>
          <w:sz w:val="24"/>
          <w:szCs w:val="24"/>
        </w:rPr>
        <w:t>For Military Terrain Analysis and Emergency Response Planning</w:t>
      </w:r>
    </w:p>
    <w:p>
      <w:pPr>
        <w:spacing w:after="0" w:before="240"/>
        <w:jc w:val="center"/>
      </w:pPr>
      <w:r>
        <w:rPr>
          <w:rFonts w:ascii="Arial" w:cs="Arial" w:eastAsia="Arial" w:hAnsi="Arial"/>
          <w:color w:val="888888"/>
          <w:sz w:val="22"/>
          <w:szCs w:val="22"/>
        </w:rPr>
        <w:t>August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w:t>
      </w:r>
    </w:p>
    <w:p>
      <w:r/>
    </w:p>
    <w:p>
      <w:pPr>
        <w:pStyle w:val="Heading1"/>
        <w:pBdr>
          <w:bottom w:val="single" w:color="2E75B6" w:sz="6" w:space="4"/>
        </w:pBdr>
        <w:spacing w:after="120" w:before="360"/>
      </w:pPr>
      <w:r>
        <w:rPr>
          <w:rFonts w:ascii="Arial" w:cs="Arial" w:eastAsia="Arial" w:hAnsi="Arial"/>
          <w:b/>
          <w:bCs/>
          <w:color w:val="1F3864"/>
          <w:sz w:val="32"/>
          <w:szCs w:val="32"/>
        </w:rPr>
        <w:t>Table of Contents</w:t>
      </w:r>
    </w:p>
    <w:sdt>
      <w:sdtPr>
        <w:alias w:val="Table of Contents"/>
      </w:sdtPr>
      <w:sdtContent>
        <w:p>
          <w:r>
            <w:fldChar w:fldCharType="begin" w:dirty="true"/>
            <w:instrText xml:space="preserve">TOC \h \o "1-3"</w:instrText>
            <w:fldChar w:fldCharType="separate"/>
          </w:r>
        </w:p>
        <w:p>
          <w:r>
            <w:fldChar w:fldCharType="end"/>
          </w:r>
        </w:p>
      </w:sdtContent>
    </w:sdt>
    <w:p>
      <w:r/>
    </w:p>
    <w:p>
      <w:pPr>
        <w:pStyle w:val="Heading1"/>
        <w:pBdr>
          <w:bottom w:val="single" w:color="2E75B6" w:sz="6" w:space="4"/>
        </w:pBdr>
        <w:spacing w:after="120" w:before="360"/>
      </w:pPr>
      <w:r>
        <w:rPr>
          <w:rFonts w:ascii="Arial" w:cs="Arial" w:eastAsia="Arial" w:hAnsi="Arial"/>
          <w:b/>
          <w:bCs/>
          <w:color w:val="1F3864"/>
          <w:sz w:val="32"/>
          <w:szCs w:val="32"/>
        </w:rPr>
        <w:t>1.  Introduction</w:t>
      </w:r>
    </w:p>
    <w:p>
      <w:pPr>
        <w:pStyle w:val="Heading2"/>
        <w:spacing w:after="100" w:before="280"/>
      </w:pPr>
      <w:r>
        <w:rPr>
          <w:rFonts w:ascii="Arial" w:cs="Arial" w:eastAsia="Arial" w:hAnsi="Arial"/>
          <w:b/>
          <w:bCs/>
          <w:color w:val="2E75B6"/>
          <w:sz w:val="28"/>
          <w:szCs w:val="28"/>
        </w:rPr>
        <w:t>1.1  What Is the CCM Tool?</w:t>
      </w:r>
    </w:p>
    <w:p>
      <w:pPr>
        <w:spacing w:after="60" w:before="60"/>
      </w:pPr>
      <w:r>
        <w:rPr>
          <w:rFonts w:ascii="Arial" w:cs="Arial" w:eastAsia="Arial" w:hAnsi="Arial"/>
          <w:sz w:val="22"/>
          <w:szCs w:val="22"/>
        </w:rPr>
        <w:t>CCM Tool (Cross-Country Mobility Tool) is an ArcGIS Pro Python Toolbox that uses a multi-criteria evaluation approach to assess vehicle trafficability across terrain. It answers the fundamental operational question:</w:t>
      </w:r>
    </w:p>
    <w:p>
      <w:pPr>
        <w:spacing w:after="80" w:before="80"/>
      </w:pPr>
      <w:r/>
    </w:p>
    <w:p>
      <w:pPr>
        <w:spacing w:after="120" w:before="120"/>
        <w:jc w:val="center"/>
      </w:pPr>
      <w:r>
        <w:rPr>
          <w:rFonts w:ascii="Arial" w:cs="Arial" w:eastAsia="Arial" w:hAnsi="Arial"/>
          <w:b/>
          <w:bCs/>
          <w:color w:val="2E75B6"/>
          <w:sz w:val="26"/>
          <w:szCs w:val="26"/>
        </w:rPr>
        <w:t>“Can this vehicle cross this terrain — and how fast?”</w:t>
      </w:r>
    </w:p>
    <w:p>
      <w:pPr>
        <w:spacing w:after="80" w:before="80"/>
      </w:pPr>
      <w:r/>
    </w:p>
    <w:p>
      <w:pPr>
        <w:spacing w:after="60" w:before="60"/>
      </w:pPr>
      <w:r>
        <w:rPr>
          <w:rFonts w:ascii="Arial" w:cs="Arial" w:eastAsia="Arial" w:hAnsi="Arial"/>
          <w:sz w:val="22"/>
          <w:szCs w:val="22"/>
        </w:rPr>
        <w:t>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p>
    <w:p>
      <w:pPr>
        <w:pStyle w:val="Heading2"/>
        <w:spacing w:after="100" w:before="280"/>
      </w:pPr>
      <w:r>
        <w:rPr>
          <w:rFonts w:ascii="Arial" w:cs="Arial" w:eastAsia="Arial" w:hAnsi="Arial"/>
          <w:b/>
          <w:bCs/>
          <w:color w:val="2E75B6"/>
          <w:sz w:val="28"/>
          <w:szCs w:val="28"/>
        </w:rPr>
        <w:t>1.2  Key Capabilities</w:t>
      </w:r>
    </w:p>
    <w:p>
      <w:pPr>
        <w:pStyle w:val="ListParagraph"/>
        <w:numPr>
          <w:ilvl w:val="0"/>
          <w:numId w:val="2"/>
        </w:numPr>
        <w:spacing w:after="40" w:before="40"/>
      </w:pPr>
      <w:r>
        <w:rPr>
          <w:rFonts w:ascii="Arial" w:cs="Arial" w:eastAsia="Arial" w:hAnsi="Arial"/>
          <w:sz w:val="22"/>
          <w:szCs w:val="22"/>
        </w:rPr>
        <w:t>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Identify WHY areas are blocked or slow (Reason Map)</w:t>
      </w:r>
    </w:p>
    <w:p>
      <w:pPr>
        <w:pStyle w:val="ListParagraph"/>
        <w:numPr>
          <w:ilvl w:val="0"/>
          <w:numId w:val="2"/>
        </w:numPr>
        <w:spacing w:after="40" w:before="40"/>
      </w:pPr>
      <w:r>
        <w:rPr>
          <w:rFonts w:ascii="Arial" w:cs="Arial" w:eastAsia="Arial" w:hAnsi="Arial"/>
          <w:sz w:val="22"/>
          <w:szCs w:val="22"/>
        </w:rPr>
        <w:t>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Find the time-optimal route between two points on the terrain</w:t>
      </w:r>
    </w:p>
    <w:p>
      <w:pPr>
        <w:pStyle w:val="ListParagraph"/>
        <w:numPr>
          <w:ilvl w:val="0"/>
          <w:numId w:val="2"/>
        </w:numPr>
        <w:spacing w:after="40" w:before="40"/>
      </w:pPr>
      <w:r>
        <w:rPr>
          <w:rFonts w:ascii="Arial" w:cs="Arial" w:eastAsia="Arial" w:hAnsi="Arial"/>
          <w:sz w:val="22"/>
          <w:szCs w:val="22"/>
        </w:rPr>
        <w:t>Accept coordinates in MGRS, Decimal Degrees, DMS, DDM, or UTM formats</w:t>
      </w:r>
    </w:p>
    <w:p>
      <w:pPr>
        <w:pStyle w:val="ListParagraph"/>
        <w:numPr>
          <w:ilvl w:val="0"/>
          <w:numId w:val="2"/>
        </w:numPr>
        <w:spacing w:after="40" w:before="40"/>
      </w:pPr>
      <w:r>
        <w:rPr>
          <w:rFonts w:ascii="Arial" w:cs="Arial" w:eastAsia="Arial" w:hAnsi="Arial"/>
          <w:sz w:val="22"/>
          <w:szCs w:val="22"/>
        </w:rPr>
        <w:t>Integrate real-time rainfall data to adjust soil trafficability dynamically</w:t>
      </w:r>
    </w:p>
    <w:p>
      <w:pPr>
        <w:spacing w:after="80" w:before="80"/>
      </w:pPr>
      <w:r/>
    </w:p>
    <w:p>
      <w:pPr>
        <w:pStyle w:val="Heading2"/>
        <w:spacing w:after="100" w:before="280"/>
      </w:pPr>
      <w:r>
        <w:rPr>
          <w:rFonts w:ascii="Arial" w:cs="Arial" w:eastAsia="Arial" w:hAnsi="Arial"/>
          <w:b/>
          <w:bCs/>
          <w:color w:val="2E75B6"/>
          <w:sz w:val="28"/>
          <w:szCs w:val="28"/>
        </w:rPr>
        <w:t>1.3  How the Tool Works — The Five Factors</w:t>
      </w:r>
    </w:p>
    <w:p>
      <w:pPr>
        <w:spacing w:after="60" w:before="60"/>
      </w:pPr>
      <w:r>
        <w:rPr>
          <w:rFonts w:ascii="Arial" w:cs="Arial" w:eastAsia="Arial" w:hAnsi="Arial"/>
          <w:sz w:val="22"/>
          <w:szCs w:val="22"/>
        </w:rPr>
        <w:t>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FC</w:t>
            </w:r>
          </w:p>
        </w:tc>
      </w:tr>
    </w:tbl>
    <w:p>
      <w:pPr>
        <w:spacing w:after="80" w:before="80"/>
      </w:pPr>
      <w:r/>
    </w:p>
    <w:p>
      <w:pPr>
        <w:spacing w:after="60" w:before="60"/>
      </w:pPr>
      <w:r>
        <w:rPr>
          <w:rFonts w:ascii="Arial" w:cs="Arial" w:eastAsia="Arial" w:hAnsi="Arial"/>
          <w:sz w:val="22"/>
          <w:szCs w:val="22"/>
        </w:rPr>
        <w:t>The final speed for each polygon is:</w:t>
      </w:r>
    </w:p>
    <w:p>
      <w:pPr>
        <w:spacing w:after="80" w:before="80"/>
        <w:jc w:val="center"/>
      </w:pPr>
      <w:r>
        <w:rPr>
          <w:rFonts w:ascii="Courier New" w:cs="Courier New" w:eastAsia="Courier New" w:hAnsi="Courier New"/>
          <w:color w:val="1F3864"/>
          <w:sz w:val="20"/>
          <w:szCs w:val="20"/>
        </w:rPr>
        <w:t>Speed (km/h) = Vehicle Max Speed × min(F1, F2, F3, F_soil, F_hydro)</w:t>
      </w:r>
    </w:p>
    <w:p>
      <w:pPr>
        <w:spacing w:after="60" w:before="60"/>
      </w:pPr>
      <w:r>
        <w:rPr>
          <w:rFonts w:ascii="Arial" w:cs="Arial" w:eastAsia="Arial" w:hAnsi="Arial"/>
          <w:sz w:val="22"/>
          <w:szCs w:val="22"/>
        </w:rPr>
        <w:t>If any single factor equals 0.0, the polygon is a No-Go for that vehicle regardless of the other factors.</w:t>
      </w:r>
    </w:p>
    <w:p>
      <w:pPr>
        <w:spacing w:after="80" w:before="80"/>
      </w:pPr>
      <w:r/>
    </w:p>
    <w:p>
      <w:pPr>
        <w:pStyle w:val="Heading2"/>
        <w:spacing w:after="100" w:before="280"/>
      </w:pPr>
      <w:r>
        <w:rPr>
          <w:rFonts w:ascii="Arial" w:cs="Arial" w:eastAsia="Arial" w:hAnsi="Arial"/>
          <w:b/>
          <w:bCs/>
          <w:color w:val="2E75B6"/>
          <w:sz w:val="28"/>
          <w:szCs w:val="28"/>
        </w:rPr>
        <w:t>1.4  Tool Architecture — Steps 0, 0b, and 1 to 4</w:t>
      </w:r>
    </w:p>
    <w:p>
      <w:pPr>
        <w:spacing w:after="60" w:before="60"/>
      </w:pPr>
      <w:r>
        <w:t>All analysis is organised into sequential steps. Step 0 (optional) consolidates raw MGCP source data; Step 0b inventories the complete data root and writes a factual catalog; Step 1 then confirms and pre-processes the selected inputs. Completing Step 1 once is sufficient for all subsequent runs.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(v0.54.0 warns if not).</w:t>
            </w:r>
          </w:p>
        </w:tc>
      </w:tr>
    </w:tbl>
    <w:p>
      <w:r/>
    </w:p>
    <w:p>
      <w:pPr>
        <w:pStyle w:val="Heading1"/>
        <w:pBdr>
          <w:bottom w:val="single" w:color="2E75B6" w:sz="6" w:space="4"/>
        </w:pBdr>
        <w:spacing w:after="120" w:before="360"/>
      </w:pPr>
      <w:r>
        <w:rPr>
          <w:rFonts w:ascii="Arial" w:cs="Arial" w:eastAsia="Arial" w:hAnsi="Arial"/>
          <w:b/>
          <w:bCs/>
          <w:color w:val="1F3864"/>
          <w:sz w:val="32"/>
          <w:szCs w:val="32"/>
        </w:rPr>
        <w:t>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Who Is This Section For?</w:t>
            </w:r>
          </w:p>
          <w:p>
            <w:pPr>
              <w:spacing w:after="0" w:before="0"/>
            </w:pPr>
            <w:r>
              <w:rPr>
                <w:rFonts w:ascii="Arial" w:cs="Arial" w:eastAsia="Arial" w:hAnsi="Arial"/>
                <w:sz w:val="22"/>
                <w:szCs w:val="22"/>
              </w:rPr>
              <w:t>This section is for field operators and mission planners who need to run the tool quickly. It assumes ArcGIS Pro is already installed and the toolbox has been loaded by a GIS analyst.</w:t>
            </w:r>
          </w:p>
        </w:tc>
      </w:tr>
    </w:tbl>
    <w:p>
      <w:pPr>
        <w:spacing w:after="80" w:before="80"/>
      </w:pPr>
      <w:r/>
    </w:p>
    <w:p>
      <w:pPr>
        <w:pStyle w:val="Heading2"/>
        <w:spacing w:after="100" w:before="280"/>
      </w:pPr>
      <w:r>
        <w:rPr>
          <w:rFonts w:ascii="Arial" w:cs="Arial" w:eastAsia="Arial" w:hAnsi="Arial"/>
          <w:b/>
          <w:bCs/>
          <w:color w:val="2E75B6"/>
          <w:sz w:val="28"/>
          <w:szCs w:val="28"/>
        </w:rPr>
        <w:t>2.1  What You Need Before Starting</w:t>
      </w:r>
    </w:p>
    <w:p>
      <w:pPr>
        <w:pStyle w:val="ListParagraph"/>
        <w:numPr>
          <w:ilvl w:val="0"/>
          <w:numId w:val="3"/>
        </w:numPr>
        <w:spacing w:after="40" w:before="40"/>
      </w:pPr>
      <w:r>
        <w:rPr>
          <w:rFonts w:ascii="Arial" w:cs="Arial" w:eastAsia="Arial" w:hAnsi="Arial"/>
          <w:sz w:val="22"/>
          <w:szCs w:val="22"/>
        </w:rPr>
        <w:t>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folder (CCM_Tool_v0.57) accessible on your computer</w:t>
      </w:r>
    </w:p>
    <w:p>
      <w:pPr>
        <w:pStyle w:val="ListParagraph"/>
        <w:numPr>
          <w:ilvl w:val="0"/>
          <w:numId w:val="3"/>
        </w:numPr>
        <w:spacing w:after="40" w:before="40"/>
      </w:pPr>
      <w:r>
        <w:rPr>
          <w:rFonts w:ascii="Arial" w:cs="Arial" w:eastAsia="Arial" w:hAnsi="Arial"/>
          <w:sz w:val="22"/>
          <w:szCs w:val="22"/>
        </w:rPr>
        <w:t>An Analysis Extent polygon (your study area) in a Projected CRS (e.g., UTM)</w:t>
      </w:r>
    </w:p>
    <w:p>
      <w:pPr>
        <w:pStyle w:val="ListParagraph"/>
        <w:numPr>
          <w:ilvl w:val="0"/>
          <w:numId w:val="3"/>
        </w:numPr>
        <w:spacing w:after="40" w:before="40"/>
      </w:pPr>
      <w:r>
        <w:rPr>
          <w:rFonts w:ascii="Arial" w:cs="Arial" w:eastAsia="Arial" w:hAnsi="Arial"/>
          <w:sz w:val="22"/>
          <w:szCs w:val="22"/>
        </w:rPr>
        <w:t>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Pre-processed soil data (your GIS analyst sets this up in Step 1)</w:t>
      </w:r>
    </w:p>
    <w:p>
      <w:pPr>
        <w:pStyle w:val="ListParagraph"/>
        <w:numPr>
          <w:ilvl w:val="0"/>
          <w:numId w:val="3"/>
        </w:numPr>
        <w:spacing w:after="40" w:before="40"/>
      </w:pPr>
      <w:r>
        <w:rPr>
          <w:rFonts w:ascii="Arial" w:cs="Arial" w:eastAsia="Arial" w:hAnsi="Arial"/>
          <w:sz w:val="22"/>
          <w:szCs w:val="22"/>
        </w:rPr>
        <w:t>Pre-processed vegetation data (your GIS analyst sets this up in Step 1)</w:t>
      </w:r>
    </w:p>
    <w:p>
      <w:pPr>
        <w:pStyle w:val="ListParagraph"/>
        <w:numPr>
          <w:ilvl w:val="0"/>
          <w:numId w:val="3"/>
        </w:numPr>
        <w:spacing w:after="40" w:before="40"/>
      </w:pPr>
      <w:r>
        <w:rPr>
          <w:rFonts w:ascii="Arial" w:cs="Arial" w:eastAsia="Arial" w:hAnsi="Arial"/>
          <w:sz w:val="22"/>
          <w:szCs w:val="22"/>
        </w:rPr>
        <w:t>A Vehicle Definitions CSV file (Vehicles_Can.csv is included)</w:t>
      </w:r>
    </w:p>
    <w:p>
      <w:pPr>
        <w:spacing w:after="80" w:before="80"/>
      </w:pPr>
      <w:r/>
    </w:p>
    <w:p>
      <w:pPr>
        <w:pStyle w:val="Heading2"/>
        <w:spacing w:after="100" w:before="280"/>
      </w:pPr>
      <w:r>
        <w:rPr>
          <w:rFonts w:ascii="Arial" w:cs="Arial" w:eastAsia="Arial" w:hAnsi="Arial"/>
          <w:b/>
          <w:bCs/>
          <w:color w:val="2E75B6"/>
          <w:sz w:val="28"/>
          <w:szCs w:val="28"/>
        </w:rPr>
        <w:t>2.2  Loading the Toolbox in ArcGIS Pro</w:t>
      </w:r>
    </w:p>
    <w:p>
      <w:pPr>
        <w:pStyle w:val="ListParagraph"/>
        <w:numPr>
          <w:ilvl w:val="0"/>
          <w:numId w:val="3"/>
        </w:numPr>
        <w:spacing w:after="40" w:before="40"/>
      </w:pPr>
      <w:r>
        <w:rPr>
          <w:rFonts w:ascii="Arial" w:cs="Arial" w:eastAsia="Arial" w:hAnsi="Arial"/>
          <w:sz w:val="22"/>
          <w:szCs w:val="22"/>
        </w:rPr>
        <w:t>Open ArcGIS Pro and your project.</w:t>
      </w:r>
    </w:p>
    <w:p>
      <w:pPr>
        <w:pStyle w:val="ListParagraph"/>
        <w:numPr>
          <w:ilvl w:val="0"/>
          <w:numId w:val="3"/>
        </w:numPr>
        <w:spacing w:after="40" w:before="40"/>
      </w:pPr>
      <w:r>
        <w:rPr>
          <w:rFonts w:ascii="Arial" w:cs="Arial" w:eastAsia="Arial" w:hAnsi="Arial"/>
          <w:sz w:val="22"/>
          <w:szCs w:val="22"/>
        </w:rPr>
        <w:t>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CCM_Tool_v0.57 folder and select CCM_Tool_v0.57.pyt.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Once the toolbox is added to your ArcGIS Pro project, it will be remembered next time you open that project. You only need to add it once.</w:t>
            </w:r>
          </w:p>
        </w:tc>
      </w:tr>
    </w:tbl>
    <w:p>
      <w:pPr>
        <w:spacing w:after="80" w:before="80"/>
      </w:pPr>
      <w:r/>
    </w:p>
    <w:p>
      <w:pPr>
        <w:pStyle w:val="Heading2"/>
        <w:spacing w:after="100" w:before="280"/>
      </w:pPr>
      <w:r>
        <w:rPr>
          <w:rFonts w:ascii="Arial" w:cs="Arial" w:eastAsia="Arial" w:hAnsi="Arial"/>
          <w:b/>
          <w:bCs/>
          <w:color w:val="2E75B6"/>
          <w:sz w:val="28"/>
          <w:szCs w:val="28"/>
        </w:rPr>
        <w:t>2.3  Running the Tool — Step by Step</w:t>
      </w:r>
    </w:p>
    <w:p>
      <w:pPr>
        <w:pStyle w:val="Heading3"/>
        <w:spacing w:after="80" w:before="200"/>
      </w:pPr>
      <w:r>
        <w:rPr>
          <w:rFonts w:ascii="Arial" w:cs="Arial" w:eastAsia="Arial" w:hAnsi="Arial"/>
          <w:b/>
          <w:bCs/>
          <w:color w:val="1F3864"/>
          <w:sz w:val="24"/>
          <w:szCs w:val="24"/>
        </w:rPr>
        <w:t>Step 1 — Project Setup (one time only)</w:t>
      </w:r>
    </w:p>
    <w:p>
      <w:pPr>
        <w:pStyle w:val="ListParagraph"/>
        <w:numPr>
          <w:ilvl w:val="0"/>
          <w:numId w:val="3"/>
        </w:numPr>
        <w:spacing w:after="40" w:before="40"/>
      </w:pPr>
      <w:r>
        <w:rPr>
          <w:rFonts w:ascii="Arial" w:cs="Arial" w:eastAsia="Arial" w:hAnsi="Arial"/>
          <w:sz w:val="22"/>
          <w:szCs w:val="22"/>
        </w:rPr>
        <w:t>Double-click Step 1. Project Setup &amp; Pre-process.</w:t>
      </w:r>
    </w:p>
    <w:p>
      <w:pPr>
        <w:pStyle w:val="ListParagraph"/>
        <w:numPr>
          <w:ilvl w:val="0"/>
          <w:numId w:val="3"/>
        </w:numPr>
        <w:spacing w:after="40" w:before="40"/>
      </w:pPr>
      <w:r>
        <w:rPr>
          <w:rFonts w:ascii="Arial" w:cs="Arial" w:eastAsia="Arial" w:hAnsi="Arial"/>
          <w:sz w:val="22"/>
          <w:szCs w:val="22"/>
        </w:rPr>
        <w:t>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Set DEM or Slope Regions (or both).</w:t>
      </w:r>
    </w:p>
    <w:p>
      <w:pPr>
        <w:pStyle w:val="ListParagraph"/>
        <w:numPr>
          <w:ilvl w:val="0"/>
          <w:numId w:val="3"/>
        </w:numPr>
        <w:spacing w:after="40" w:before="40"/>
      </w:pPr>
      <w:r>
        <w:rPr>
          <w:rFonts w:ascii="Arial" w:cs="Arial" w:eastAsia="Arial" w:hAnsi="Arial"/>
          <w:sz w:val="22"/>
          <w:szCs w:val="22"/>
        </w:rPr>
        <w:t>Set Default Soil Moisture Condition (dry / moist / wet).</w:t>
      </w:r>
    </w:p>
    <w:p>
      <w:pPr>
        <w:pStyle w:val="ListParagraph"/>
        <w:numPr>
          <w:ilvl w:val="0"/>
          <w:numId w:val="3"/>
        </w:numPr>
        <w:spacing w:after="40" w:before="40"/>
      </w:pPr>
      <w:r>
        <w:rPr>
          <w:rFonts w:ascii="Arial" w:cs="Arial" w:eastAsia="Arial" w:hAnsi="Arial"/>
          <w:sz w:val="22"/>
          <w:szCs w:val="22"/>
        </w:rPr>
        <w:t>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Under Vegetation Pre-processing: select your vegetation raster files.</w:t>
      </w:r>
    </w:p>
    <w:p>
      <w:pPr>
        <w:pStyle w:val="ListParagraph"/>
        <w:numPr>
          <w:ilvl w:val="0"/>
          <w:numId w:val="3"/>
        </w:numPr>
        <w:spacing w:after="40" w:before="40"/>
      </w:pPr>
      <w:r>
        <w:rPr>
          <w:rFonts w:ascii="Arial" w:cs="Arial" w:eastAsia="Arial" w:hAnsi="Arial"/>
          <w:sz w:val="22"/>
          <w:szCs w:val="22"/>
        </w:rPr>
        <w:t>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Click Run. The tool will pre-process all inputs and save ccm_project.json in your output folder.</w:t>
      </w:r>
    </w:p>
    <w:p>
      <w:pPr>
        <w:spacing w:after="80" w:before="80"/>
      </w:pPr>
      <w:r/>
    </w:p>
    <w:p>
      <w:pPr>
        <w:pStyle w:val="Heading3"/>
        <w:spacing w:after="80" w:before="200"/>
      </w:pPr>
      <w:r>
        <w:rPr>
          <w:rFonts w:ascii="Arial" w:cs="Arial" w:eastAsia="Arial" w:hAnsi="Arial"/>
          <w:b/>
          <w:bCs/>
          <w:color w:val="1F3864"/>
          <w:sz w:val="24"/>
          <w:szCs w:val="24"/>
        </w:rPr>
        <w:t>Step 2 — Generate the Mobility Map</w:t>
      </w:r>
    </w:p>
    <w:p>
      <w:pPr>
        <w:pStyle w:val="ListParagraph"/>
        <w:numPr>
          <w:ilvl w:val="0"/>
          <w:numId w:val="3"/>
        </w:numPr>
        <w:spacing w:after="40" w:before="40"/>
      </w:pPr>
      <w:r>
        <w:rPr>
          <w:rFonts w:ascii="Arial" w:cs="Arial" w:eastAsia="Arial" w:hAnsi="Arial"/>
          <w:sz w:val="22"/>
          <w:szCs w:val="22"/>
        </w:rPr>
        <w:t>Double-click Step 2.</w:t>
      </w:r>
    </w:p>
    <w:p>
      <w:pPr>
        <w:pStyle w:val="ListParagraph"/>
        <w:numPr>
          <w:ilvl w:val="0"/>
          <w:numId w:val="3"/>
        </w:numPr>
        <w:spacing w:after="40" w:before="40"/>
      </w:pPr>
      <w:r>
        <w:rPr>
          <w:rFonts w:ascii="Arial" w:cs="Arial" w:eastAsia="Arial" w:hAnsi="Arial"/>
          <w:sz w:val="22"/>
          <w:szCs w:val="22"/>
        </w:rPr>
        <w:t>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Set the soil moisture condition.</w:t>
      </w:r>
    </w:p>
    <w:p>
      <w:pPr>
        <w:pStyle w:val="ListParagraph"/>
        <w:numPr>
          <w:ilvl w:val="0"/>
          <w:numId w:val="3"/>
        </w:numPr>
        <w:spacing w:after="40" w:before="40"/>
      </w:pPr>
      <w:r>
        <w:rPr>
          <w:rFonts w:ascii="Arial" w:cs="Arial" w:eastAsia="Arial" w:hAnsi="Arial"/>
          <w:sz w:val="22"/>
          <w:szCs w:val="22"/>
        </w:rPr>
        <w:t>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Click Run. The tool generates a speed surface polygon FC in your project GDB.</w:t>
      </w:r>
    </w:p>
    <w:p>
      <w:pPr>
        <w:spacing w:after="80" w:before="80"/>
      </w:pPr>
      <w:r/>
    </w:p>
    <w:p>
      <w:pPr>
        <w:pStyle w:val="Heading3"/>
        <w:spacing w:after="80" w:before="200"/>
      </w:pPr>
      <w:r>
        <w:rPr>
          <w:rFonts w:ascii="Arial" w:cs="Arial" w:eastAsia="Arial" w:hAnsi="Arial"/>
          <w:b/>
          <w:bCs/>
          <w:color w:val="1F3864"/>
          <w:sz w:val="24"/>
          <w:szCs w:val="24"/>
        </w:rPr>
        <w:t>Step 3 — Advanced Analysis (optional)</w:t>
      </w:r>
    </w:p>
    <w:p>
      <w:pPr>
        <w:pStyle w:val="ListParagraph"/>
        <w:numPr>
          <w:ilvl w:val="0"/>
          <w:numId w:val="3"/>
        </w:numPr>
        <w:spacing w:after="40" w:before="40"/>
      </w:pPr>
      <w:r>
        <w:rPr>
          <w:rFonts w:ascii="Arial" w:cs="Arial" w:eastAsia="Arial" w:hAnsi="Arial"/>
          <w:sz w:val="22"/>
          <w:szCs w:val="22"/>
        </w:rPr>
        <w:t>Double-click Step 3. Advanced Analysis.</w:t>
      </w:r>
    </w:p>
    <w:p>
      <w:pPr>
        <w:pStyle w:val="ListParagraph"/>
        <w:numPr>
          <w:ilvl w:val="0"/>
          <w:numId w:val="3"/>
        </w:numPr>
        <w:spacing w:after="40" w:before="40"/>
      </w:pPr>
      <w:r>
        <w:rPr>
          <w:rFonts w:ascii="Arial" w:cs="Arial" w:eastAsia="Arial" w:hAnsi="Arial"/>
          <w:sz w:val="22"/>
          <w:szCs w:val="22"/>
        </w:rPr>
        <w:t>Select your Project Folder (auto-fills Speed Surface FC).</w:t>
      </w:r>
    </w:p>
    <w:p>
      <w:pPr>
        <w:pStyle w:val="ListParagraph"/>
        <w:numPr>
          <w:ilvl w:val="0"/>
          <w:numId w:val="3"/>
        </w:numPr>
        <w:spacing w:after="40" w:before="40"/>
      </w:pPr>
      <w:r>
        <w:rPr>
          <w:rFonts w:ascii="Arial" w:cs="Arial" w:eastAsia="Arial" w:hAnsi="Arial"/>
          <w:sz w:val="22"/>
          <w:szCs w:val="22"/>
        </w:rPr>
        <w:t>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Fill in any required parameters for the enabled analyses.</w:t>
      </w:r>
    </w:p>
    <w:p>
      <w:pPr>
        <w:pStyle w:val="ListParagraph"/>
        <w:numPr>
          <w:ilvl w:val="0"/>
          <w:numId w:val="3"/>
        </w:numPr>
        <w:spacing w:after="40" w:before="40"/>
      </w:pPr>
      <w:r>
        <w:rPr>
          <w:rFonts w:ascii="Arial" w:cs="Arial" w:eastAsia="Arial" w:hAnsi="Arial"/>
          <w:sz w:val="22"/>
          <w:szCs w:val="22"/>
        </w:rPr>
        <w:t>Click Run.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Note</w:t>
            </w:r>
          </w:p>
          <w:p>
            <w:pPr>
              <w:spacing w:after="0" w:before="0"/>
            </w:pPr>
            <w:r>
              <w:rPr>
                <w:rFonts w:ascii="Arial" w:cs="Arial" w:eastAsia="Arial" w:hAnsi="Arial"/>
                <w:sz w:val="22"/>
                <w:szCs w:val="22"/>
              </w:rPr>
              <w:t>You can run Step 3 multiple times with different settings without re-running Steps 1 or 2. The project config (ccm_project.json) persists all your data paths.</w:t>
            </w:r>
          </w:p>
        </w:tc>
      </w:tr>
    </w:tbl>
    <w:p>
      <w:pPr>
        <w:spacing w:after="80" w:before="80"/>
      </w:pPr>
      <w:r/>
    </w:p>
    <w:p>
      <w:pPr>
        <w:pStyle w:val="Heading2"/>
        <w:spacing w:after="100" w:before="280"/>
      </w:pPr>
      <w:r>
        <w:rPr>
          <w:rFonts w:ascii="Arial" w:cs="Arial" w:eastAsia="Arial" w:hAnsi="Arial"/>
          <w:b/>
          <w:bCs/>
          <w:color w:val="2E75B6"/>
          <w:sz w:val="28"/>
          <w:szCs w:val="28"/>
        </w:rPr>
        <w:t>2.4  Reading the Output Map</w:t>
      </w:r>
    </w:p>
    <w:p>
      <w:pPr>
        <w:spacing w:after="60" w:before="60"/>
      </w:pPr>
      <w:r>
        <w:rPr>
          <w:rFonts w:ascii="Arial" w:cs="Arial" w:eastAsia="Arial" w:hAnsi="Arial"/>
          <w:sz w:val="22"/>
          <w:szCs w:val="22"/>
        </w:rPr>
        <w:t>The main output is a polygon feature class with per-vehicle speed values. Apply the included Mobility_Symbology_Final.lyrx symbology file to display it in standard CCM colours: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Cannot be crossed regardless of conditions</w:t>
            </w:r>
          </w:p>
        </w:tc>
      </w:tr>
    </w:tbl>
    <w:p>
      <w:r/>
    </w:p>
    <w:p>
      <w:pPr>
        <w:spacing w:after="120"/>
      </w:pPr>
      <w:r>
        <w:rPr>
          <w:rFonts w:ascii="Arial" w:cs="Arial" w:eastAsia="Arial" w:hAnsi="Arial"/>
          <w:b/>
          <w:sz w:val="22"/>
          <w:szCs w:val="22"/>
        </w:rPr>
        <w:t xml:space="preserve">Map display (v0.51).  </w:t>
      </w:r>
      <w:r>
        <w:rPr>
          <w:rFonts w:ascii="Arial" w:cs="Arial" w:eastAsia="Arial" w:hAnsi="Arial"/>
          <w:sz w:val="22"/>
          <w:szCs w:val="22"/>
        </w:rPr>
        <w:t>All Step 3 outputs load into the CCM_TOOL_MAP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2.5  Step 0 — Load MGCP Data (new in v0.50)</w:t>
      </w:r>
    </w:p>
    <w:p>
      <w:pPr>
        <w:spacing w:after="120"/>
      </w:pPr>
      <w:r>
        <w:rPr>
          <w:rFonts w:ascii="Arial" w:cs="Arial" w:eastAsia="Arial" w:hAnsi="Arial"/>
          <w:sz w:val="22"/>
          <w:szCs w:val="22"/>
        </w:rPr>
        <w:t>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(v0.54.0):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t>2.6  Step 0b - Data Intelligence Scan and One-Folder Data Root</w:t>
      </w:r>
    </w:p>
    <w:p>
      <w:pPr>
        <w:spacing w:after="120"/>
      </w:pPr>
      <w:r>
        <w:t>Step 0b is the recommended first data step. Instead of browsing to each dataset one by one, place everything under a single parent folder with descriptive subfolder names - for example: MyProject_Data containing MGCP, Soil, DEM, Contours, Vegetation, Hydro, Vehicle, and Extent folders.</w:t>
      </w:r>
    </w:p>
    <w:p>
      <w:pPr>
        <w:spacing w:after="120"/>
      </w:pPr>
      <w:r>
        <w:rPr>
          <w:rFonts w:ascii="Arial" w:cs="Arial" w:eastAsia="Arial" w:hAnsi="Arial"/>
          <w:b/>
          <w:sz w:val="22"/>
          <w:szCs w:val="22"/>
        </w:rPr>
        <w:t xml:space="preserve">How detection works.  </w:t>
      </w:r>
      <w:r>
        <w:rPr>
          <w:rFonts w:ascii="Arial" w:cs="Arial" w:eastAsia="Arial" w:hAnsi="Arial"/>
          <w:sz w:val="22"/>
          <w:szCs w:val="22"/>
        </w:rPr>
        <w:t>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t>When there are duplicates, Step 0b records every location and the classification basis. It does not silently choose a source. Review the JSON and HTML report, then confirm the input path manually in Step 1.</w:t>
      </w:r>
    </w:p>
    <w:p>
      <w:pPr>
        <w:pStyle w:val="Heading2"/>
      </w:pPr>
      <w:r>
        <w:t>Step 0b outputs</w:t>
      </w:r>
    </w:p>
    <w:p>
      <w:r>
        <w:t>The scan writes ccm_data_catalog.json, CCM_Data_Intelligence_Report.html, and CCM_Data_Intelligence_Report.txt to the selected project folder. It also adds data_root and data_catalog_json to ccm_project.json while preserving unrelated keys.</w:t>
      </w:r>
    </w:p>
    <w:p>
      <w:r>
        <w:t>The catalog is factual: it records observed metadata, duplicate locations, limitations, missing roles, and CRS guidance. Quality, Fitness, Confidence, Readiness, and automatic source selection are not calculated in this release.</w:t>
      </w:r>
    </w:p>
    <w:p>
      <w:pPr>
        <w:pStyle w:val="Heading3"/>
      </w:pPr>
      <w:r>
        <w:t>Running Step 0b outside ArcGIS Pro</w:t>
      </w:r>
    </w:p>
    <w:p>
      <w:r>
        <w:t>CCM_anaconda.bat creates the dedicated ccm_tool environment and activates it in the current Anaconda Prompt automatically (no separate conda activate step needed). RUN_DATA_SCAN.bat provides a logged command-line scan, and CCM_Data_Scanner.bat launches the safe standalone GUI. ArcPy is optional for these modes; GDAL/OGR is optional for richer container enumeration.</w:t>
      </w:r>
    </w:p>
    <w:p>
      <w:pPr>
        <w:pStyle w:val="Heading1"/>
        <w:pBdr>
          <w:bottom w:val="single" w:color="2E75B6" w:sz="6" w:space="4"/>
        </w:pBdr>
        <w:spacing w:after="120" w:before="360"/>
      </w:pPr>
      <w:r>
        <w:rPr>
          <w:rFonts w:ascii="Arial" w:cs="Arial" w:eastAsia="Arial" w:hAnsi="Arial"/>
          <w:b/>
          <w:bCs/>
          <w:color w:val="1F3864"/>
          <w:sz w:val="32"/>
          <w:szCs w:val="32"/>
        </w:rPr>
        <w:t>3.  System Requirements</w:t>
      </w:r>
    </w:p>
    <w:p>
      <w:pPr>
        <w:pStyle w:val="Heading2"/>
        <w:spacing w:after="100" w:before="280"/>
      </w:pPr>
      <w:r>
        <w:rPr>
          <w:rFonts w:ascii="Arial" w:cs="Arial" w:eastAsia="Arial" w:hAnsi="Arial"/>
          <w:b/>
          <w:bCs/>
          <w:color w:val="2E75B6"/>
          <w:sz w:val="28"/>
          <w:szCs w:val="28"/>
        </w:rPr>
        <w:t>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vehicle CSV loading and soil preprocessing</w:t>
            </w:r>
          </w:p>
        </w:tc>
      </w:tr>
    </w:tbl>
    <w:p>
      <w:pPr>
        <w:spacing w:after="80" w:before="80"/>
      </w:pPr>
      <w:r/>
    </w:p>
    <w:p>
      <w:pPr>
        <w:pStyle w:val="Heading2"/>
        <w:spacing w:after="100" w:before="280"/>
      </w:pPr>
      <w:r>
        <w:rPr>
          <w:rFonts w:ascii="Arial" w:cs="Arial" w:eastAsia="Arial" w:hAnsi="Arial"/>
          <w:b/>
          <w:bCs/>
          <w:color w:val="2E75B6"/>
          <w:sz w:val="28"/>
          <w:szCs w:val="28"/>
        </w:rPr>
        <w:t>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used</w:t>
            </w:r>
          </w:p>
        </w:tc>
      </w:tr>
    </w:tbl>
    <w:p>
      <w:pPr>
        <w:spacing w:after="80" w:before="80"/>
      </w:pPr>
      <w:r/>
    </w:p>
    <w:p>
      <w:pPr>
        <w:pStyle w:val="Heading2"/>
        <w:spacing w:after="100" w:before="280"/>
      </w:pPr>
      <w:r>
        <w:rPr>
          <w:rFonts w:ascii="Arial" w:cs="Arial" w:eastAsia="Arial" w:hAnsi="Arial"/>
          <w:b/>
          <w:bCs/>
          <w:color w:val="2E75B6"/>
          <w:sz w:val="28"/>
          <w:szCs w:val="28"/>
        </w:rPr>
        <w:t>3.3  Data Requirements</w:t>
      </w:r>
    </w:p>
    <w:p>
      <w:pPr>
        <w:spacing w:after="60" w:before="60"/>
      </w:pPr>
      <w:r>
        <w:rPr>
          <w:rFonts w:ascii="Arial" w:cs="Arial" w:eastAsia="Arial" w:hAnsi="Arial"/>
          <w:sz w:val="22"/>
          <w:szCs w:val="22"/>
        </w:rPr>
        <w:t>The following data types are needed. At least one soil source and one vegetation source are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derive slope regions. At least 10 m resolution recommended.</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Pre-classified slope polygons. Can substitute for DEM.</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Six sources supported. See the Soil Data section for details.</w:t>
            </w:r>
            <w:r>
              <w:rPr>
                <w:rFonts w:ascii="Arial" w:hAnsi="Arial"/>
                <w:sz w:val="20"/>
              </w:rPr>
              <w:t xml:space="preserve"> Pre-processed/raw soil layers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Water bodies, rivers. Used for obstacle detection and F-factor computation.</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Improves slope break detection and veg height normalisation.</w:t>
            </w:r>
            <w:r>
              <w:rPr>
                <w:rFonts w:ascii="Arial" w:hAnsi="Arial"/>
                <w:sz w:val="20"/>
              </w:rPr>
              <w:t xml:space="preserve"> Should share the Analysis Extent's Projected CRS (v0.54.0 warns if not).</w:t>
            </w:r>
          </w:p>
        </w:tc>
      </w:tr>
    </w:tbl>
    <w:p>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(v0.54.0):</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4.  Step 1 — Project Setup &amp; Pre-process</w:t>
      </w:r>
    </w:p>
    <w:p>
      <w:pPr>
        <w:spacing w:after="60" w:before="60"/>
      </w:pPr>
      <w:r>
        <w:rPr>
          <w:rFonts w:ascii="Arial" w:cs="Arial" w:eastAsia="Arial" w:hAnsi="Arial"/>
          <w:sz w:val="22"/>
          <w:szCs w:val="22"/>
        </w:rPr>
        <w:t>Step 1 is the data-entry step. You run it once per project area. It pre-processes raw soil and vegetation inputs into CCM-ready polygon layers and saves ccm_project.json so all downstream tools auto-populate.</w:t>
      </w:r>
    </w:p>
    <w:p>
      <w:pPr>
        <w:spacing w:after="80" w:before="80"/>
      </w:pPr>
      <w:r/>
    </w:p>
    <w:p>
      <w:pPr>
        <w:pStyle w:val="Heading2"/>
        <w:spacing w:after="100" w:before="280"/>
      </w:pPr>
      <w:r>
        <w:rPr>
          <w:rFonts w:ascii="Arial" w:cs="Arial" w:eastAsia="Arial" w:hAnsi="Arial"/>
          <w:b/>
          <w:bCs/>
          <w:color w:val="2E75B6"/>
          <w:sz w:val="28"/>
          <w:szCs w:val="28"/>
        </w:rPr>
        <w:t>4.1  Parameter Reference</w:t>
      </w:r>
    </w:p>
    <w:p>
      <w:pPr>
        <w:pStyle w:val="Heading3"/>
        <w:spacing w:after="80" w:before="200"/>
      </w:pPr>
      <w:r>
        <w:rPr>
          <w:rFonts w:ascii="Arial" w:cs="Arial" w:eastAsia="Arial" w:hAnsi="Arial"/>
          <w:b/>
          <w:bCs/>
          <w:color w:val="1F3864"/>
          <w:sz w:val="24"/>
          <w:szCs w:val="24"/>
        </w:rPr>
        <w:t>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Digital Elevation Model raster. Used to derive slope regions.</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Pre-classified slope polygon layer. Bypasses DEM slope derivation.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Improves vegetation height normalisation and obstacle detection.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Sets the default for Step 2 and 3 analyses. Options: dry / moist / wet.</w:t>
            </w:r>
          </w:p>
        </w:tc>
      </w:tr>
    </w:tbl>
    <w:p>
      <w:pPr>
        <w:spacing w:after="80" w:before="80"/>
      </w:pPr>
      <w:r/>
    </w:p>
    <w:p>
      <w:pPr>
        <w:pStyle w:val="Heading3"/>
        <w:spacing w:after="80" w:before="200"/>
      </w:pPr>
      <w:r>
        <w:rPr>
          <w:rFonts w:ascii="Arial" w:cs="Arial" w:eastAsia="Arial" w:hAnsi="Arial"/>
          <w:b/>
          <w:bCs/>
          <w:color w:val="1F3864"/>
          <w:sz w:val="24"/>
          <w:szCs w:val="24"/>
        </w:rPr>
        <w:t>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soil FC (soilType field), skip pre-processing by entering it here.</w:t>
            </w:r>
          </w:p>
        </w:tc>
      </w:tr>
    </w:tbl>
    <w:p>
      <w:pPr>
        <w:spacing w:after="80" w:before="80"/>
      </w:pPr>
      <w:r/>
    </w:p>
    <w:p>
      <w:pPr>
        <w:pStyle w:val="Heading3"/>
        <w:spacing w:after="80" w:before="200"/>
      </w:pPr>
      <w:r>
        <w:rPr>
          <w:rFonts w:ascii="Arial" w:cs="Arial" w:eastAsia="Arial" w:hAnsi="Arial"/>
          <w:b/>
          <w:bCs/>
          <w:color w:val="1F3864"/>
          <w:sz w:val="24"/>
          <w:szCs w:val="24"/>
        </w:rPr>
        <w:t>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vegetation FC, enter it here to skip pre-processing.</w:t>
            </w:r>
          </w:p>
        </w:tc>
      </w:tr>
    </w:tbl>
    <w:p>
      <w:pPr>
        <w:spacing w:after="80" w:before="80"/>
      </w:pPr>
      <w:r/>
    </w:p>
    <w:p>
      <w:pPr>
        <w:pStyle w:val="Heading2"/>
        <w:spacing w:after="100" w:before="280"/>
      </w:pPr>
      <w:r>
        <w:rPr>
          <w:rFonts w:ascii="Arial" w:cs="Arial" w:eastAsia="Arial" w:hAnsi="Arial"/>
          <w:b/>
          <w:bCs/>
          <w:color w:val="2E75B6"/>
          <w:sz w:val="28"/>
          <w:szCs w:val="28"/>
        </w:rPr>
        <w:t>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p>
    <w:p>
      <w:pPr>
        <w:pStyle w:val="Heading2"/>
        <w:spacing w:after="100" w:before="280"/>
      </w:pPr>
      <w:r>
        <w:rPr>
          <w:rFonts w:ascii="Arial" w:cs="Arial" w:eastAsia="Arial" w:hAnsi="Arial"/>
          <w:b/>
          <w:bCs/>
          <w:color w:val="2E75B6"/>
          <w:sz w:val="28"/>
          <w:szCs w:val="28"/>
        </w:rPr>
        <w:t>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Falls back to safe CCM defaults for unmapped classes.</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Note: MODIS and NOAA VH Not Supported</w:t>
            </w:r>
          </w:p>
          <w:p>
            <w:pPr>
              <w:spacing w:after="0" w:before="0"/>
            </w:pPr>
            <w:r>
              <w:rPr>
                <w:rFonts w:ascii="Arial" w:cs="Arial" w:eastAsia="Arial" w:hAnsi="Arial"/>
                <w:sz w:val="22"/>
                <w:szCs w:val="22"/>
              </w:rPr>
              <w:t>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p>
    <w:p>
      <w:pPr>
        <w:pStyle w:val="Heading2"/>
        <w:spacing w:after="100" w:before="280"/>
      </w:pPr>
      <w:r>
        <w:rPr>
          <w:rFonts w:ascii="Arial" w:cs="Arial" w:eastAsia="Arial" w:hAnsi="Arial"/>
          <w:b/>
          <w:bCs/>
          <w:color w:val="2E75B6"/>
          <w:sz w:val="28"/>
          <w:szCs w:val="28"/>
        </w:rPr>
        <w:t>4.4  Output: ccm_project.json</w:t>
      </w:r>
    </w:p>
    <w:p>
      <w:pPr>
        <w:spacing w:after="60" w:before="60"/>
      </w:pPr>
      <w:r>
        <w:rPr>
          <w:rFonts w:ascii="Arial" w:cs="Arial" w:eastAsia="Arial" w:hAnsi="Arial"/>
          <w:sz w:val="22"/>
          <w:szCs w:val="22"/>
        </w:rPr>
        <w:t>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p>
    <w:p>
      <w:pPr>
        <w:spacing w:after="60" w:before="60"/>
      </w:pPr>
      <w:r>
        <w:rPr>
          <w:rFonts w:ascii="Arial" w:cs="Arial" w:eastAsia="Arial" w:hAnsi="Arial"/>
          <w:sz w:val="22"/>
          <w:szCs w:val="22"/>
        </w:rPr>
        <w:t>Key fields saved in ccm_project.json:</w:t>
      </w:r>
    </w:p>
    <w:p>
      <w:pPr>
        <w:pStyle w:val="ListParagraph"/>
        <w:numPr>
          <w:ilvl w:val="0"/>
          <w:numId w:val="2"/>
        </w:numPr>
        <w:spacing w:after="40" w:before="40"/>
      </w:pPr>
      <w:r>
        <w:rPr>
          <w:rFonts w:ascii="Arial" w:cs="Arial" w:eastAsia="Arial" w:hAnsi="Arial"/>
          <w:sz w:val="22"/>
          <w:szCs w:val="22"/>
        </w:rPr>
        <w:t>extent_fc, dem_path, slope_fc, contours_fc</w:t>
      </w:r>
    </w:p>
    <w:p>
      <w:pPr>
        <w:pStyle w:val="ListParagraph"/>
        <w:numPr>
          <w:ilvl w:val="0"/>
          <w:numId w:val="2"/>
        </w:numPr>
        <w:spacing w:after="40" w:before="40"/>
      </w:pPr>
      <w:r>
        <w:rPr>
          <w:rFonts w:ascii="Arial" w:cs="Arial" w:eastAsia="Arial" w:hAnsi="Arial"/>
          <w:sz w:val="22"/>
          <w:szCs w:val="22"/>
        </w:rPr>
        <w:t>soil_fc, veg_fc, hydro_fcs</w:t>
      </w:r>
    </w:p>
    <w:p>
      <w:pPr>
        <w:pStyle w:val="ListParagraph"/>
        <w:numPr>
          <w:ilvl w:val="0"/>
          <w:numId w:val="2"/>
        </w:numPr>
        <w:spacing w:after="40" w:before="40"/>
      </w:pPr>
      <w:r>
        <w:rPr>
          <w:rFonts w:ascii="Arial" w:cs="Arial" w:eastAsia="Arial" w:hAnsi="Arial"/>
          <w:sz w:val="22"/>
          <w:szCs w:val="22"/>
        </w:rPr>
        <w:t>vehicle_csv, moisture_default</w:t>
      </w:r>
    </w:p>
    <w:p>
      <w:pPr>
        <w:pStyle w:val="ListParagraph"/>
        <w:numPr>
          <w:ilvl w:val="0"/>
          <w:numId w:val="2"/>
        </w:numPr>
        <w:spacing w:after="40" w:before="40"/>
      </w:pPr>
      <w:r>
        <w:rPr>
          <w:rFonts w:ascii="Arial" w:cs="Arial" w:eastAsia="Arial" w:hAnsi="Arial"/>
          <w:sz w:val="22"/>
          <w:szCs w:val="22"/>
        </w:rPr>
        <w:t>project_folder, project_gdb</w:t>
      </w:r>
    </w:p>
    <w:p>
      <w:pPr>
        <w:pStyle w:val="ListParagraph"/>
        <w:numPr>
          <w:ilvl w:val="0"/>
          <w:numId w:val="2"/>
        </w:numPr>
        <w:spacing w:after="40" w:before="40"/>
      </w:pPr>
      <w:r>
        <w:rPr>
          <w:rFonts w:ascii="Arial" w:cs="Arial" w:eastAsia="Arial" w:hAnsi="Arial"/>
          <w:sz w:val="22"/>
          <w:szCs w:val="22"/>
        </w:rPr>
        <w:t>mobility_map_fc (written by Step 2)</w:t>
      </w:r>
    </w:p>
    <w:p>
      <w:pPr>
        <w:pStyle w:val="ListParagraph"/>
        <w:numPr>
          <w:ilvl w:val="0"/>
          <w:numId w:val="2"/>
        </w:numPr>
        <w:spacing w:after="40" w:before="40"/>
      </w:pPr>
      <w:r>
        <w:rPr>
          <w:rFonts w:ascii="Arial" w:cs="Arial" w:eastAsia="Arial" w:hAnsi="Arial"/>
          <w:sz w:val="22"/>
          <w:szCs w:val="22"/>
        </w:rPr>
        <w:t>ccm_version, created, last_updated</w:t>
      </w:r>
    </w:p>
    <w:p>
      <w:r/>
    </w:p>
    <w:p>
      <w:pPr>
        <w:pStyle w:val="Heading1"/>
        <w:pBdr>
          <w:bottom w:val="single" w:color="2E75B6" w:sz="6" w:space="4"/>
        </w:pBdr>
        <w:spacing w:after="120" w:before="360"/>
      </w:pPr>
      <w:r>
        <w:rPr>
          <w:rFonts w:ascii="Arial" w:cs="Arial" w:eastAsia="Arial" w:hAnsi="Arial"/>
          <w:b/>
          <w:bCs/>
          <w:color w:val="1F3864"/>
          <w:sz w:val="32"/>
          <w:szCs w:val="32"/>
        </w:rPr>
        <w:t>5.  Step 2 — Generate Mobility Map</w:t>
      </w:r>
    </w:p>
    <w:p>
      <w:pPr>
        <w:spacing w:after="60" w:before="60"/>
      </w:pPr>
      <w:r>
        <w:rPr>
          <w:rFonts w:ascii="Arial" w:cs="Arial" w:eastAsia="Arial" w:hAnsi="Arial"/>
          <w:sz w:val="22"/>
          <w:szCs w:val="22"/>
        </w:rPr>
        <w:t>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5.1  What Step 2 Produces</w:t>
      </w:r>
    </w:p>
    <w:p>
      <w:pPr>
        <w:spacing w:after="60" w:before="60"/>
      </w:pPr>
      <w:r>
        <w:rPr>
          <w:rFonts w:ascii="Arial" w:cs="Arial" w:eastAsia="Arial" w:hAnsi="Arial"/>
          <w:sz w:val="22"/>
          <w:szCs w:val="22"/>
        </w:rPr>
        <w:t>The output is a polygon feature class (stored in CCM_Project.gdb) with the following key fields: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Stochastic probability of GO (0.0–1.0). Present only when Enable Stochastic P(GO) is checked. Derived from 200 Monte Carlo trials perturbing RCI (CV=0.15) and slope (CV=0.10). See Section 7.6.</w:t>
            </w:r>
          </w:p>
        </w:tc>
      </w:tr>
    </w:tbl>
    <w:p>
      <w:pPr>
        <w:spacing w:after="80" w:before="80"/>
      </w:pPr>
      <w:r/>
    </w:p>
    <w:p>
      <w:pPr>
        <w:pStyle w:val="Heading2"/>
        <w:spacing w:after="100" w:before="280"/>
      </w:pPr>
      <w:r>
        <w:rPr>
          <w:rFonts w:ascii="Arial" w:cs="Arial" w:eastAsia="Arial" w:hAnsi="Arial"/>
          <w:b/>
          <w:bCs/>
          <w:color w:val="2E75B6"/>
          <w:sz w:val="28"/>
          <w:szCs w:val="28"/>
        </w:rPr>
        <w:t>5.2  Supported Vehicles</w:t>
      </w:r>
    </w:p>
    <w:p>
      <w:pPr>
        <w:spacing w:after="60" w:before="60"/>
      </w:pPr>
      <w:r>
        <w:rPr>
          <w:rFonts w:ascii="Arial" w:cs="Arial" w:eastAsia="Arial" w:hAnsi="Arial"/>
          <w:sz w:val="22"/>
          <w:szCs w:val="22"/>
        </w:rPr>
        <w:t>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bl>
    <w:p>
      <w:pPr>
        <w:spacing w:after="80" w:before="80"/>
      </w:pPr>
      <w:r/>
    </w:p>
    <w:p>
      <w:pPr>
        <w:pStyle w:val="Heading2"/>
        <w:spacing w:after="100" w:before="280"/>
      </w:pPr>
      <w:r>
        <w:rPr>
          <w:rFonts w:ascii="Arial" w:cs="Arial" w:eastAsia="Arial" w:hAnsi="Arial"/>
          <w:b/>
          <w:bCs/>
          <w:color w:val="2E75B6"/>
          <w:sz w:val="28"/>
          <w:szCs w:val="28"/>
        </w:rPr>
        <w:t>5.3  Vehicle CSV Format</w:t>
      </w:r>
    </w:p>
    <w:p>
      <w:pPr>
        <w:spacing w:after="60" w:before="60"/>
      </w:pPr>
      <w:r>
        <w:rPr>
          <w:rFonts w:ascii="Arial" w:cs="Arial" w:eastAsia="Arial" w:hAnsi="Arial"/>
          <w:sz w:val="22"/>
          <w:szCs w:val="22"/>
        </w:rPr>
        <w:t>To add custom vehicles, edit or replace Vehicles_Can.csv. The CSV must have a header row with the following columns: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Important</w:t>
            </w:r>
          </w:p>
          <w:p>
            <w:pPr>
              <w:spacing w:after="0" w:before="0"/>
            </w:pPr>
            <w:r>
              <w:rPr>
                <w:rFonts w:ascii="Arial" w:cs="Arial" w:eastAsia="Arial" w:hAnsi="Arial"/>
                <w:sz w:val="22"/>
                <w:szCs w:val="22"/>
              </w:rPr>
              <w:t>If a column value is not applicable or unknown, leave the cell blank. Do not enter 0 unless the true value is zero, as 0 may be interpreted as an impassability condition in some factors.</w:t>
            </w:r>
          </w:p>
        </w:tc>
      </w:tr>
    </w:tbl>
    <w:p>
      <w:r/>
    </w:p>
    <w:p>
      <w:pPr>
        <w:pStyle w:val="Heading1"/>
        <w:pBdr>
          <w:bottom w:val="single" w:color="2E75B6" w:sz="6" w:space="4"/>
        </w:pBdr>
        <w:spacing w:after="120" w:before="360"/>
      </w:pPr>
      <w:r>
        <w:rPr>
          <w:rFonts w:ascii="Arial" w:cs="Arial" w:eastAsia="Arial" w:hAnsi="Arial"/>
          <w:b/>
          <w:bCs/>
          <w:color w:val="1F3864"/>
          <w:sz w:val="32"/>
          <w:szCs w:val="32"/>
        </w:rPr>
        <w:t>6.  Step 3 — Advanced Analysis</w:t>
      </w:r>
    </w:p>
    <w:p>
      <w:pPr>
        <w:spacing w:after="60" w:before="60"/>
      </w:pPr>
      <w:r>
        <w:rPr>
          <w:rFonts w:ascii="Arial" w:cs="Arial" w:eastAsia="Arial" w:hAnsi="Arial"/>
          <w:sz w:val="22"/>
          <w:szCs w:val="22"/>
        </w:rPr>
        <w:t>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p>
    <w:p>
      <w:pPr>
        <w:pStyle w:val="Heading2"/>
        <w:spacing w:after="100" w:before="280"/>
      </w:pPr>
      <w:r>
        <w:rPr>
          <w:rFonts w:ascii="Arial" w:cs="Arial" w:eastAsia="Arial" w:hAnsi="Arial"/>
          <w:b/>
          <w:bCs/>
          <w:color w:val="2E75B6"/>
          <w:sz w:val="28"/>
          <w:szCs w:val="28"/>
        </w:rPr>
        <w:t>6.1  Analysis A — Reason Map</w:t>
      </w:r>
    </w:p>
    <w:p>
      <w:pPr>
        <w:spacing w:after="60" w:before="60"/>
      </w:pPr>
      <w:r>
        <w:rPr>
          <w:rFonts w:ascii="Arial" w:cs="Arial" w:eastAsia="Arial" w:hAnsi="Arial"/>
          <w:sz w:val="22"/>
          <w:szCs w:val="22"/>
        </w:rPr>
        <w:t>The Reason Map answers the question: “Why is this polygon red (No Go)?” It inspects the F1–F5 factor values for every polygon and writes a plain-English explanation to a new field called NO_GO_REASON.</w:t>
      </w:r>
    </w:p>
    <w:p>
      <w:pPr>
        <w:spacing w:after="80" w:before="80"/>
      </w:pPr>
      <w:r/>
    </w:p>
    <w:p>
      <w:pPr>
        <w:pStyle w:val="Heading3"/>
        <w:spacing w:after="80" w:before="200"/>
      </w:pPr>
      <w:r>
        <w:rPr>
          <w:rFonts w:ascii="Arial" w:cs="Arial" w:eastAsia="Arial" w:hAnsi="Arial"/>
          <w:b/>
          <w:bCs/>
          <w:color w:val="1F3864"/>
          <w:sz w:val="24"/>
          <w:szCs w:val="24"/>
        </w:rPr>
        <w:t>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Numeric code for quick symbology. 0=GO, 1=Restricted, 2=No Go–Slope, 3=No Go–Soil, 4=No Go–Water, 5=No Go–Vegetation, 6=No Go–Multiple, 9=Missing Data.</w:t>
            </w:r>
          </w:p>
        </w:tc>
      </w:tr>
    </w:tbl>
    <w:p>
      <w:pPr>
        <w:spacing w:after="80" w:before="80"/>
      </w:pPr>
      <w:r/>
    </w:p>
    <w:p>
      <w:pPr>
        <w:spacing w:after="60" w:before="60"/>
      </w:pPr>
      <w:r>
        <w:rPr>
          <w:rFonts w:ascii="Arial" w:cs="Arial" w:eastAsia="Arial" w:hAnsi="Arial"/>
          <w:sz w:val="22"/>
          <w:szCs w:val="22"/>
        </w:rPr>
        <w:t>After running, click any polygon in ArcGIS Pro and read NO_GO_REASON in the pop-up / Identify Results panel. This is particularly useful for briefings and obstacle reports.</w:t>
      </w:r>
    </w:p>
    <w:p>
      <w:pPr>
        <w:spacing w:after="80" w:before="80"/>
      </w:pPr>
      <w:r/>
    </w:p>
    <w:p>
      <w:pPr>
        <w:pStyle w:val="Heading2"/>
        <w:spacing w:after="100" w:before="280"/>
      </w:pPr>
      <w:r>
        <w:rPr>
          <w:rFonts w:ascii="Arial" w:cs="Arial" w:eastAsia="Arial" w:hAnsi="Arial"/>
          <w:b/>
          <w:bCs/>
          <w:color w:val="2E75B6"/>
          <w:sz w:val="28"/>
          <w:szCs w:val="28"/>
        </w:rPr>
        <w:t>6.2  Analysis B — Reachability Map (Isochrone)</w:t>
      </w:r>
    </w:p>
    <w:p>
      <w:pPr>
        <w:spacing w:after="60" w:before="60"/>
      </w:pPr>
      <w:r>
        <w:rPr>
          <w:rFonts w:ascii="Arial" w:cs="Arial" w:eastAsia="Arial" w:hAnsi="Arial"/>
          <w:sz w:val="22"/>
          <w:szCs w:val="22"/>
        </w:rPr>
        <w:t>The Reachability Map draws rings showing how far a vehicle can travel in a given time from a start point, accounting for terrain speed. It is also called an Isochrone map.</w:t>
      </w:r>
    </w:p>
    <w:p>
      <w:pPr>
        <w:spacing w:after="80" w:before="80"/>
      </w:pPr>
      <w:r/>
    </w:p>
    <w:p>
      <w:pPr>
        <w:spacing w:after="60" w:before="60"/>
      </w:pPr>
      <w:r>
        <w:rPr>
          <w:rFonts w:ascii="Arial" w:cs="Arial" w:eastAsia="Arial" w:hAnsi="Arial"/>
          <w:sz w:val="22"/>
          <w:szCs w:val="22"/>
        </w:rPr>
        <w:t>The tool uses DistanceAccumulation (ArcGIS Pro 3.5+) for maximum performance, with automatic fallback to CostDistance on older installations.</w:t>
      </w:r>
    </w:p>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speed field in the speed surface FC (default: SpeedKMH).</w:t>
            </w:r>
          </w:p>
        </w:tc>
      </w:tr>
    </w:tbl>
    <w:p>
      <w:pPr>
        <w:spacing w:after="80" w:before="80"/>
      </w:pPr>
      <w:r/>
    </w:p>
    <w:p>
      <w:pPr>
        <w:pStyle w:val="Heading3"/>
        <w:spacing w:after="80" w:before="200"/>
      </w:pPr>
      <w:r>
        <w:rPr>
          <w:rFonts w:ascii="Arial" w:cs="Arial" w:eastAsia="Arial" w:hAnsi="Arial"/>
          <w:b/>
          <w:bCs/>
          <w:color w:val="1F3864"/>
          <w:sz w:val="24"/>
          <w:szCs w:val="24"/>
        </w:rPr>
        <w:t>Output</w:t>
      </w:r>
    </w:p>
    <w:p>
      <w:pPr>
        <w:spacing w:after="60" w:before="60"/>
      </w:pPr>
      <w:r>
        <w:rPr>
          <w:rFonts w:ascii="Arial" w:cs="Arial" w:eastAsia="Arial" w:hAnsi="Arial"/>
          <w:sz w:val="22"/>
          <w:szCs w:val="22"/>
        </w:rPr>
        <w:t>A polygon feature class with one ring per time interval, labelled with TIME_BAND, MAX_MIN (maximum minutes), and BAND_ORDER fields. Apply the included symbology to display rings in graduated colours.</w:t>
      </w:r>
    </w:p>
    <w:p>
      <w:pPr>
        <w:spacing w:after="80" w:before="80"/>
      </w:pPr>
      <w:r/>
    </w:p>
    <w:p>
      <w:pPr>
        <w:pStyle w:val="Heading2"/>
        <w:spacing w:after="100" w:before="280"/>
      </w:pPr>
      <w:r>
        <w:rPr>
          <w:rFonts w:ascii="Arial" w:cs="Arial" w:eastAsia="Arial" w:hAnsi="Arial"/>
          <w:b/>
          <w:bCs/>
          <w:color w:val="2E75B6"/>
          <w:sz w:val="28"/>
          <w:szCs w:val="28"/>
        </w:rPr>
        <w:t>6.3  Analysis C — Vehicle Comparison</w:t>
      </w:r>
    </w:p>
    <w:p>
      <w:pPr>
        <w:spacing w:after="60" w:before="60"/>
      </w:pPr>
      <w:r>
        <w:rPr>
          <w:rFonts w:ascii="Arial" w:cs="Arial" w:eastAsia="Arial" w:hAnsi="Arial"/>
          <w:sz w:val="22"/>
          <w:szCs w:val="22"/>
        </w:rPr>
        <w:t>The Vehicle Comparison analysis overlays the speed surfaces of two vehicles and classifies each polygon into one of four categories: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 vehicle can cross. Absolute No Go for both.</w:t>
            </w:r>
          </w:p>
        </w:tc>
      </w:tr>
    </w:tbl>
    <w:p>
      <w:pPr>
        <w:spacing w:after="80" w:before="80"/>
      </w:pPr>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(v0.54.0).</w:t>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 label (GO / SLOW GO / NO GO) for each vehicle.</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Run Step 2 once per vehicle before running Vehicle Comparison. The comparison dropdown in Step 3 is populated from mobility_map_fc entries recorded in ccm_project.json.</w:t>
            </w:r>
          </w:p>
        </w:tc>
      </w:tr>
    </w:tbl>
    <w:p>
      <w:pPr>
        <w:spacing w:after="80" w:before="80"/>
      </w:pPr>
      <w:r/>
    </w:p>
    <w:p>
      <w:pPr>
        <w:pStyle w:val="Heading2"/>
        <w:spacing w:after="100" w:before="280"/>
      </w:pPr>
      <w:r>
        <w:rPr>
          <w:rFonts w:ascii="Arial" w:cs="Arial" w:eastAsia="Arial" w:hAnsi="Arial"/>
          <w:b/>
          <w:bCs/>
          <w:color w:val="2E75B6"/>
          <w:sz w:val="28"/>
          <w:szCs w:val="28"/>
        </w:rPr>
        <w:t>6.4  Analysis D — Obstacle Detection</w:t>
      </w:r>
    </w:p>
    <w:p>
      <w:pPr>
        <w:spacing w:after="60" w:before="60"/>
      </w:pPr>
      <w:r>
        <w:rPr>
          <w:rFonts w:ascii="Arial" w:cs="Arial" w:eastAsia="Arial" w:hAnsi="Arial"/>
          <w:sz w:val="22"/>
          <w:szCs w:val="22"/>
        </w:rPr>
        <w:t>Obstacle Detection scans for micro-obstacles that are too small to appear in standard CCM polygon layers but large enough to stop or damage a vehicle. Three obstacle types are detected: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(always requires manual verification)</w:t>
            </w:r>
          </w:p>
        </w:tc>
      </w:tr>
    </w:tbl>
    <w:p>
      <w:pPr>
        <w:spacing w:after="80" w:before="80"/>
      </w:pPr>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Name of the input layer from which this obstacle was detected.</w:t>
            </w:r>
          </w:p>
        </w:tc>
      </w:tr>
    </w:tbl>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 crossings narrower than this are flagged as gaps.</w:t>
            </w:r>
          </w:p>
        </w:tc>
      </w:tr>
    </w:tbl>
    <w:p>
      <w:pPr>
        <w:spacing w:after="80" w:before="80"/>
      </w:pPr>
      <w:r/>
    </w:p>
    <w:p>
      <w:pPr>
        <w:pStyle w:val="Heading2"/>
        <w:spacing w:after="100" w:before="280"/>
      </w:pPr>
      <w:r>
        <w:rPr>
          <w:rFonts w:ascii="Arial" w:cs="Arial" w:eastAsia="Arial" w:hAnsi="Arial"/>
          <w:b/>
          <w:bCs/>
          <w:color w:val="2E75B6"/>
          <w:sz w:val="28"/>
          <w:szCs w:val="28"/>
        </w:rPr>
        <w:t>6.5  Analysis E — Waypoint Route</w:t>
      </w:r>
    </w:p>
    <w:p>
      <w:pPr>
        <w:spacing w:after="60" w:before="60"/>
      </w:pPr>
      <w:r>
        <w:rPr>
          <w:rFonts w:ascii="Arial" w:cs="Arial" w:eastAsia="Arial" w:hAnsi="Arial"/>
          <w:sz w:val="22"/>
          <w:szCs w:val="22"/>
        </w:rPr>
        <w:t>Waypoint Route finds the time-optimal (fastest) route between a start point and an end point, respecting the terrain speed constraints computed in Step 2.</w:t>
      </w:r>
    </w:p>
    <w:p>
      <w:pPr>
        <w:spacing w:after="80" w:before="80"/>
      </w:pPr>
      <w:r/>
    </w:p>
    <w:p>
      <w:pPr>
        <w:spacing w:after="60" w:before="60"/>
      </w:pPr>
      <w:r>
        <w:rPr>
          <w:rFonts w:ascii="Arial" w:cs="Arial" w:eastAsia="Arial" w:hAnsi="Arial"/>
          <w:sz w:val="22"/>
          <w:szCs w:val="22"/>
        </w:rPr>
        <w:t>If a start or end point falls in a No-Go zone, the tool automatically searches within a 500 m radius for the nearest passable location and snaps the point there before routing.</w:t>
      </w:r>
    </w:p>
    <w:p>
      <w:pPr>
        <w:spacing w:after="80" w:before="80"/>
      </w:pPr>
      <w:r/>
    </w:p>
    <w:p>
      <w:pPr>
        <w:pStyle w:val="Heading3"/>
        <w:spacing w:after="80" w:before="200"/>
      </w:pPr>
      <w:r>
        <w:rPr>
          <w:rFonts w:ascii="Arial" w:cs="Arial" w:eastAsia="Arial" w:hAnsi="Arial"/>
          <w:b/>
          <w:bCs/>
          <w:color w:val="1F3864"/>
          <w:sz w:val="24"/>
          <w:szCs w:val="24"/>
        </w:rPr>
        <w:t>Algorithm</w:t>
      </w:r>
    </w:p>
    <w:p>
      <w:pPr>
        <w:spacing w:after="60" w:before="60"/>
      </w:pPr>
      <w:r>
        <w:rPr>
          <w:rFonts w:ascii="Arial" w:cs="Arial" w:eastAsia="Arial" w:hAnsi="Arial"/>
          <w:sz w:val="22"/>
          <w:szCs w:val="22"/>
        </w:rPr>
        <w:t>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p>
    <w:p>
      <w:pPr>
        <w:pStyle w:val="Heading3"/>
        <w:spacing w:after="80" w:before="200"/>
      </w:pPr>
      <w:r>
        <w:rPr>
          <w:rFonts w:ascii="Arial" w:cs="Arial" w:eastAsia="Arial" w:hAnsi="Arial"/>
          <w:b/>
          <w:bCs/>
          <w:color w:val="1F3864"/>
          <w:sz w:val="24"/>
          <w:szCs w:val="24"/>
        </w:rPr>
        <w:t>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Total distance (m and km), estimated travel time per vehicle, list of vehicles that can complete the route, and reasons any vehicle cannot complete it.</w:t>
            </w:r>
          </w:p>
        </w:tc>
      </w:tr>
    </w:tbl>
    <w:p>
      <w:pPr>
        <w:spacing w:after="80" w:before="80"/>
      </w:pPr>
      <w:r/>
    </w:p>
    <w:p>
      <w:pPr>
        <w:pStyle w:val="Heading3"/>
        <w:spacing w:after="80" w:before="200"/>
      </w:pPr>
      <w:r>
        <w:rPr>
          <w:rFonts w:ascii="Arial" w:cs="Arial" w:eastAsia="Arial" w:hAnsi="Arial"/>
          <w:b/>
          <w:bCs/>
          <w:color w:val="1F3864"/>
          <w:sz w:val="24"/>
          <w:szCs w:val="24"/>
        </w:rPr>
        <w:t>Coordinate Entry for Start / End Points</w:t>
      </w:r>
    </w:p>
    <w:p>
      <w:pPr>
        <w:spacing w:after="60" w:before="60"/>
      </w:pPr>
      <w:r>
        <w:rPr>
          <w:rFonts w:ascii="Arial" w:cs="Arial" w:eastAsia="Arial" w:hAnsi="Arial"/>
          <w:sz w:val="22"/>
          <w:szCs w:val="22"/>
        </w:rPr>
        <w:t>All five coordinate formats are accepted. The tool auto-detects the format and converts to the project CRS: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r/>
    </w:p>
    <w:p>
      <w:pPr>
        <w:pStyle w:val="Heading1"/>
        <w:pBdr>
          <w:bottom w:val="single" w:color="2E75B6" w:sz="6" w:space="4"/>
        </w:pBdr>
        <w:spacing w:after="120" w:before="360"/>
      </w:pPr>
      <w:r>
        <w:rPr>
          <w:rFonts w:ascii="Arial" w:cs="Arial" w:eastAsia="Arial" w:hAnsi="Arial"/>
          <w:b/>
          <w:bCs/>
          <w:color w:val="1F3864"/>
          <w:sz w:val="32"/>
          <w:szCs w:val="32"/>
        </w:rPr>
        <w:t>7.  Live Weather Integration</w:t>
      </w:r>
    </w:p>
    <w:p>
      <w:pPr>
        <w:spacing w:after="60" w:before="60"/>
      </w:pPr>
      <w:r>
        <w:rPr>
          <w:rFonts w:ascii="Arial" w:cs="Arial" w:eastAsia="Arial" w:hAnsi="Arial"/>
          <w:sz w:val="22"/>
          <w:szCs w:val="22"/>
        </w:rPr>
        <w:t>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p>
    <w:p>
      <w:pPr>
        <w:pStyle w:val="Heading2"/>
        <w:spacing w:after="100" w:before="280"/>
      </w:pPr>
      <w:r>
        <w:rPr>
          <w:rFonts w:ascii="Arial" w:cs="Arial" w:eastAsia="Arial" w:hAnsi="Arial"/>
          <w:b/>
          <w:bCs/>
          <w:color w:val="2E75B6"/>
          <w:sz w:val="28"/>
          <w:szCs w:val="28"/>
        </w:rPr>
        <w:t>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Free fallback. No API key required. Used automatically if Living Atlas is unavailable or no nearby station is found.</w:t>
            </w:r>
          </w:p>
        </w:tc>
      </w:tr>
    </w:tbl>
    <w:p>
      <w:pPr>
        <w:spacing w:after="80" w:before="80"/>
      </w:pPr>
      <w:r/>
    </w:p>
    <w:p>
      <w:pPr>
        <w:pStyle w:val="Heading2"/>
        <w:spacing w:after="100" w:before="280"/>
      </w:pPr>
      <w:r>
        <w:rPr>
          <w:rFonts w:ascii="Arial" w:cs="Arial" w:eastAsia="Arial" w:hAnsi="Arial"/>
          <w:b/>
          <w:bCs/>
          <w:color w:val="2E75B6"/>
          <w:sz w:val="28"/>
          <w:szCs w:val="28"/>
        </w:rPr>
        <w:t>7.2  Rainfall → RCI Adjustment Model</w:t>
      </w:r>
    </w:p>
    <w:p>
      <w:pPr>
        <w:spacing w:after="60" w:before="60"/>
      </w:pPr>
      <w:r>
        <w:rPr>
          <w:rFonts w:ascii="Arial" w:cs="Arial" w:eastAsia="Arial" w:hAnsi="Arial"/>
          <w:sz w:val="22"/>
          <w:szCs w:val="22"/>
        </w:rPr>
        <w:t>The rainfall penalty model follows NATO STANAG 4234 and US Army FM 5-170 trafficability guidelines. A multiplicative factor is applied to base RCI values: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heavy rain / storm</w:t>
            </w:r>
          </w:p>
        </w:tc>
      </w:tr>
    </w:tbl>
    <w:p>
      <w:pPr>
        <w:spacing w:after="80" w:before="80"/>
      </w:pPr>
      <w:r/>
    </w:p>
    <w:p>
      <w:pPr>
        <w:spacing w:after="60" w:before="60"/>
      </w:pPr>
      <w:r>
        <w:rPr>
          <w:rFonts w:ascii="Arial" w:cs="Arial" w:eastAsia="Arial" w:hAnsi="Arial"/>
          <w:sz w:val="22"/>
          <w:szCs w:val="22"/>
        </w:rPr>
        <w:t>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7.3  Calibrating Soil Strength (soil_rci.csv)</w:t>
      </w:r>
    </w:p>
    <w:p>
      <w:pPr>
        <w:spacing w:after="80" w:before="80"/>
      </w:pPr>
      <w:r>
        <w:rPr>
          <w:rFonts w:ascii="Arial" w:cs="Arial" w:eastAsia="Arial" w:hAnsi="Arial"/>
          <w:sz w:val="22"/>
          <w:szCs w:val="22"/>
        </w:rPr>
        <w:t>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Example summary output (Geoprocessing Messages pane):</w:t>
      </w:r>
    </w:p>
    <w:p>
      <w:pPr>
        <w:spacing w:after="40" w:before="40"/>
        <w:ind w:left="720"/>
      </w:pPr>
      <w:r>
        <w:rPr>
          <w:rFonts w:ascii="Courier New" w:cs="Courier New" w:hAnsi="Courier New"/>
          <w:sz w:val="18"/>
          <w:szCs w:val="18"/>
          <w:color w:val="404040"/>
        </w:rPr>
        <w:t>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p>
    <w:p>
      <w:pPr>
        <w:pStyle w:val="Heading1"/>
        <w:pBdr>
          <w:bottom w:val="single" w:color="2E75B6" w:sz="6" w:space="4"/>
        </w:pBdr>
        <w:spacing w:after="120" w:before="360"/>
      </w:pPr>
      <w:r>
        <w:rPr>
          <w:rFonts w:ascii="Arial" w:cs="Arial" w:eastAsia="Arial" w:hAnsi="Arial"/>
          <w:b/>
          <w:bCs/>
          <w:color w:val="1F3864"/>
          <w:sz w:val="32"/>
          <w:szCs w:val="32"/>
        </w:rPr>
        <w:t>8.  Output Reference</w:t>
      </w:r>
    </w:p>
    <w:p>
      <w:pPr>
        <w:pStyle w:val="Heading2"/>
        <w:spacing w:after="100" w:before="280"/>
      </w:pPr>
      <w:r>
        <w:rPr>
          <w:rFonts w:ascii="Arial" w:cs="Arial" w:eastAsia="Arial" w:hAnsi="Arial"/>
          <w:b/>
          <w:bCs/>
          <w:color w:val="2E75B6"/>
          <w:sz w:val="28"/>
          <w:szCs w:val="28"/>
        </w:rPr>
        <w:t>8.1  Project Folder Structure</w:t>
      </w:r>
    </w:p>
    <w:p>
      <w:pPr>
        <w:spacing w:after="60" w:before="60"/>
      </w:pPr>
      <w:r>
        <w:rPr>
          <w:rFonts w:ascii="Arial" w:cs="Arial" w:eastAsia="Arial" w:hAnsi="Arial"/>
          <w:sz w:val="22"/>
          <w:szCs w:val="22"/>
        </w:rPr>
        <w:t>After running Steps 1 and 2, your project folder contains: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Project configuration file. Human-readable JSON.</w:t>
            </w:r>
          </w:p>
        </w:tc>
      </w:tr>
    </w:tbl>
    <w:p>
      <w:pPr>
        <w:spacing w:after="80" w:before="80"/>
      </w:pPr>
      <w:r/>
    </w:p>
    <w:p>
      <w:pPr>
        <w:pStyle w:val="Heading2"/>
        <w:spacing w:after="100" w:before="280"/>
      </w:pPr>
      <w:r>
        <w:rPr>
          <w:rFonts w:ascii="Arial" w:cs="Arial" w:eastAsia="Arial" w:hAnsi="Arial"/>
          <w:b/>
          <w:bCs/>
          <w:color w:val="2E75B6"/>
          <w:sz w:val="28"/>
          <w:szCs w:val="28"/>
        </w:rPr>
        <w:t>8.2  Applying Symbology</w:t>
      </w:r>
    </w:p>
    <w:p>
      <w:pPr>
        <w:spacing w:after="60" w:before="60"/>
      </w:pPr>
      <w:r>
        <w:rPr>
          <w:rFonts w:ascii="Arial" w:cs="Arial" w:eastAsia="Arial" w:hAnsi="Arial"/>
          <w:sz w:val="22"/>
          <w:szCs w:val="22"/>
        </w:rPr>
        <w:t>The tool ships with two ArcGIS layer files in the Symbology\ folder:</w:t>
      </w:r>
    </w:p>
    <w:p>
      <w:pPr>
        <w:spacing w:after="80" w:before="80"/>
      </w:pPr>
      <w:r/>
    </w:p>
    <w:p>
      <w:pPr>
        <w:pStyle w:val="ListParagraph"/>
        <w:numPr>
          <w:ilvl w:val="0"/>
          <w:numId w:val="2"/>
        </w:numPr>
        <w:spacing w:after="40" w:before="40"/>
      </w:pPr>
      <w:r>
        <w:rPr>
          <w:rFonts w:ascii="Arial" w:cs="Arial" w:eastAsia="Arial" w:hAnsi="Arial"/>
          <w:sz w:val="22"/>
          <w:szCs w:val="22"/>
        </w:rPr>
        <w:t>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Mobility_Symbology_Final.lyrx — Refined symbology with additional annotation support.</w:t>
      </w:r>
    </w:p>
    <w:p>
      <w:pPr>
        <w:spacing w:after="80" w:before="80"/>
      </w:pPr>
      <w:r/>
    </w:p>
    <w:p>
      <w:pPr>
        <w:spacing w:after="60" w:before="60"/>
      </w:pPr>
      <w:r>
        <w:rPr>
          <w:rFonts w:ascii="Arial" w:cs="Arial" w:eastAsia="Arial" w:hAnsi="Arial"/>
          <w:sz w:val="22"/>
          <w:szCs w:val="22"/>
        </w:rPr>
        <w:t>To apply: In the Contents pane, right-click the speed surface layer → Symbology → Import symbology → select the .lyrx file → match on the Mobility field (values GO / RESTRICTED / NO GO).</w:t>
      </w:r>
    </w:p>
    <w:p>
      <w:pPr>
        <w:spacing w:after="80" w:before="80"/>
      </w:pPr>
      <w:r/>
    </w:p>
    <w:p>
      <w:pPr>
        <w:pStyle w:val="Heading2"/>
        <w:spacing w:after="100" w:before="280"/>
      </w:pPr>
      <w:r>
        <w:rPr>
          <w:rFonts w:ascii="Arial" w:cs="Arial" w:eastAsia="Arial" w:hAnsi="Arial"/>
          <w:b/>
          <w:bCs/>
          <w:color w:val="2E75B6"/>
          <w:sz w:val="28"/>
          <w:szCs w:val="28"/>
        </w:rPr>
        <w:t>8.3  USCS Soil Classification Codes</w:t>
      </w:r>
    </w:p>
    <w:p>
      <w:pPr>
        <w:spacing w:after="60" w:before="60"/>
      </w:pPr>
      <w:r>
        <w:rPr>
          <w:rFonts w:ascii="Arial" w:cs="Arial" w:eastAsia="Arial" w:hAnsi="Arial"/>
          <w:sz w:val="22"/>
          <w:szCs w:val="22"/>
        </w:rPr>
        <w:t>The soilType field contains two-letter USCS (Unified Soil Classification System) codes. The CCM tool uses VCI (Vehicle Cone Index) values derived from these codes to compute soil trafficability.</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(gap-filled default)</w:t>
            </w:r>
          </w:p>
        </w:tc>
      </w:tr>
    </w:tbl>
    <w:p>
      <w:r/>
    </w:p>
    <w:p>
      <w:pPr>
        <w:pStyle w:val="Heading1"/>
        <w:pBdr>
          <w:bottom w:val="single" w:color="2E75B6" w:sz="6" w:space="4"/>
        </w:pBdr>
        <w:spacing w:after="120" w:before="360"/>
      </w:pPr>
      <w:r>
        <w:rPr>
          <w:rFonts w:ascii="Arial" w:cs="Arial" w:eastAsia="Arial" w:hAnsi="Arial"/>
          <w:b/>
          <w:bCs/>
          <w:color w:val="1F3864"/>
          <w:sz w:val="32"/>
          <w:szCs w:val="32"/>
        </w:rPr>
        <w:t>9.  Troubleshooting</w:t>
      </w:r>
    </w:p>
    <w:p>
      <w:pPr>
        <w:pStyle w:val="Heading2"/>
        <w:spacing w:after="100" w:before="280"/>
      </w:pPr>
      <w:r>
        <w:rPr>
          <w:rFonts w:ascii="Arial" w:cs="Arial" w:eastAsia="Arial" w:hAnsi="Arial"/>
          <w:b/>
          <w:bCs/>
          <w:color w:val="2E75B6"/>
          <w:sz w:val="28"/>
          <w:szCs w:val="28"/>
        </w:rPr>
        <w:t>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 folder are in the same directory as CCM_Tool_v0.57.pyt.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p>
    <w:p>
      <w:pPr>
        <w:pStyle w:val="Heading2"/>
        <w:spacing w:after="100" w:before="280"/>
      </w:pPr>
      <w:r>
        <w:rPr>
          <w:rFonts w:ascii="Arial" w:cs="Arial" w:eastAsia="Arial" w:hAnsi="Arial"/>
          <w:b/>
          <w:bCs/>
          <w:color w:val="2E75B6"/>
          <w:sz w:val="28"/>
          <w:szCs w:val="28"/>
        </w:rPr>
        <w:t>9.2  Performance Tips</w:t>
      </w:r>
    </w:p>
    <w:p>
      <w:pPr>
        <w:pStyle w:val="ListParagraph"/>
        <w:numPr>
          <w:ilvl w:val="0"/>
          <w:numId w:val="2"/>
        </w:numPr>
        <w:spacing w:after="40" w:before="40"/>
      </w:pPr>
      <w:r>
        <w:rPr>
          <w:rFonts w:ascii="Arial" w:cs="Arial" w:eastAsia="Arial" w:hAnsi="Arial"/>
          <w:sz w:val="22"/>
          <w:szCs w:val="22"/>
        </w:rPr>
        <w:t>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The project GDB can accumulate intermediate data over time. Delete unused layers from CCM_Project.gdb periodically to reclaim disk space.</w:t>
      </w:r>
    </w:p>
    <w:p>
      <w:pPr>
        <w:spacing w:after="80" w:before="80"/>
      </w:pPr>
      <w:r/>
    </w:p>
    <w:p>
      <w:pPr>
        <w:pStyle w:val="Heading2"/>
        <w:spacing w:after="100" w:before="280"/>
      </w:pPr>
      <w:r>
        <w:rPr>
          <w:rFonts w:ascii="Arial" w:cs="Arial" w:eastAsia="Arial" w:hAnsi="Arial"/>
          <w:b/>
          <w:bCs/>
          <w:color w:val="2E75B6"/>
          <w:sz w:val="28"/>
          <w:szCs w:val="28"/>
        </w:rPr>
        <w:t>9.3  Log Messages</w:t>
      </w:r>
    </w:p>
    <w:p>
      <w:pPr>
        <w:spacing w:after="60" w:before="60"/>
      </w:pPr>
      <w:r>
        <w:rPr>
          <w:rFonts w:ascii="Arial" w:cs="Arial" w:eastAsia="Arial" w:hAnsi="Arial"/>
          <w:sz w:val="22"/>
          <w:szCs w:val="22"/>
        </w:rPr>
        <w:t>All tool messages appear in the ArcGIS Pro Geoprocessing Messages pane. Messages are prefixed with the tool name for easy filtering:</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 reachability module</w:t>
            </w:r>
          </w:p>
        </w:tc>
      </w:tr>
    </w:tbl>
    <w:p>
      <w:r/>
    </w:p>
    <w:p>
      <w:pPr>
        <w:pStyle w:val="Heading1"/>
        <w:pBdr>
          <w:bottom w:val="single" w:color="2E75B6" w:sz="6" w:space="4"/>
        </w:pBdr>
        <w:spacing w:after="120" w:before="360"/>
      </w:pPr>
      <w:r>
        <w:rPr>
          <w:rFonts w:ascii="Arial" w:cs="Arial" w:eastAsia="Arial" w:hAnsi="Arial"/>
          <w:b/>
          <w:bCs/>
          <w:color w:val="1F3864"/>
          <w:sz w:val="32"/>
          <w:szCs w:val="32"/>
        </w:rPr>
        <w:t>10.  Technical Reference (GIS Analysts)</w:t>
      </w:r>
    </w:p>
    <w:p>
      <w:pPr>
        <w:pStyle w:val="Heading2"/>
        <w:spacing w:after="100" w:before="280"/>
      </w:pPr>
      <w:r>
        <w:rPr>
          <w:rFonts w:ascii="Arial" w:cs="Arial" w:eastAsia="Arial" w:hAnsi="Arial"/>
          <w:b/>
          <w:bCs/>
          <w:color w:val="2E75B6"/>
          <w:sz w:val="28"/>
          <w:szCs w:val="28"/>
        </w:rPr>
        <w:t>10.1  Module Architecture</w:t>
      </w:r>
    </w:p>
    <w:p>
      <w:pPr>
        <w:spacing w:after="60" w:before="60"/>
      </w:pPr>
      <w:r>
        <w:rPr>
          <w:rFonts w:ascii="Arial" w:cs="Arial" w:eastAsia="Arial" w:hAnsi="Arial"/>
          <w:sz w:val="22"/>
          <w:szCs w:val="22"/>
        </w:rPr>
        <w:t>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CCM_Tool_v0.57.pyt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Validates soilType field content; reports and corrects invalid USCS codes.</w:t>
            </w:r>
          </w:p>
        </w:tc>
      </w:tr>
      <w:tr>
        <w:tc>
          <w:tcPr>
            <w:tcW w:type="dxa" w:w="2800"/>
          </w:tcPr>
          <w:p>
            <w:r>
              <w:t>ccm_step0b_intelligence.py</w:t>
            </w:r>
          </w:p>
        </w:tc>
        <w:tc>
          <w:tcPr>
            <w:tcW w:type="dxa" w:w="6560"/>
          </w:tcPr>
          <w:p>
            <w:r>
              <w:t>Step 0b Data Intelligence Scan tool class and standalone CLI. Writes factual catalog/report outputs and additive project hand-off keys.</w:t>
            </w:r>
          </w:p>
        </w:tc>
      </w:tr>
    </w:tbl>
    <w:p>
      <w:pPr>
        <w:spacing w:after="80" w:before="80"/>
      </w:pPr>
      <w:r/>
    </w:p>
    <w:p>
      <w:pPr>
        <w:pStyle w:val="Heading2"/>
        <w:spacing w:after="100" w:before="280"/>
      </w:pPr>
      <w:r>
        <w:rPr>
          <w:rFonts w:ascii="Arial" w:cs="Arial" w:eastAsia="Arial" w:hAnsi="Arial"/>
          <w:b/>
          <w:bCs/>
          <w:color w:val="2E75B6"/>
          <w:sz w:val="28"/>
          <w:szCs w:val="28"/>
        </w:rPr>
        <w:t>10.2  VCI → Soil Factor Derivation</w:t>
      </w:r>
    </w:p>
    <w:p>
      <w:pPr>
        <w:spacing w:after="60" w:before="60"/>
      </w:pPr>
      <w:r>
        <w:rPr>
          <w:rFonts w:ascii="Arial" w:cs="Arial" w:eastAsia="Arial" w:hAnsi="Arial"/>
          <w:sz w:val="22"/>
          <w:szCs w:val="22"/>
        </w:rPr>
        <w:t>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p>
    <w:p>
      <w:pPr>
        <w:spacing w:after="80" w:before="80"/>
        <w:jc w:val="center"/>
      </w:pPr>
      <w:r>
        <w:rPr>
          <w:rFonts w:ascii="Courier New" w:cs="Courier New" w:eastAsia="Courier New" w:hAnsi="Courier New"/>
          <w:color w:val="1F3864"/>
          <w:sz w:val="20"/>
          <w:szCs w:val="20"/>
        </w:rPr>
        <w:t>F_soil = 0 if RCI &lt; VCI_1;  F_soil = 1 if RCI ≥ VCI_50;  otherwise F_soil = (RCI − VCI_1) / (VCI_50 − VCI_1)</w:t>
      </w:r>
    </w:p>
    <w:p>
      <w:pPr>
        <w:spacing w:after="60" w:before="60"/>
      </w:pPr>
      <w:r>
        <w:rPr>
          <w:rFonts w:ascii="Arial" w:cs="Arial" w:eastAsia="Arial" w:hAnsi="Arial"/>
          <w:sz w:val="22"/>
          <w:szCs w:val="22"/>
        </w:rPr>
        <w:t>If RCI ≥ VCI_required, the soil is trafficable (F = 1.0). If RCI &lt; VCI_required, the factor is proportionally reduced. If RCI &lt; VCI_1 (single-pass requirement), F = 0 (No Go).</w:t>
      </w:r>
    </w:p>
    <w:p>
      <w:pPr>
        <w:spacing w:after="80" w:before="80"/>
      </w:pPr>
      <w:r/>
    </w:p>
    <w:p>
      <w:pPr>
        <w:pStyle w:val="Heading2"/>
        <w:spacing w:after="100" w:before="280"/>
      </w:pPr>
      <w:r>
        <w:rPr>
          <w:rFonts w:ascii="Arial" w:cs="Arial" w:eastAsia="Arial" w:hAnsi="Arial"/>
          <w:b/>
          <w:bCs/>
          <w:color w:val="2E75B6"/>
          <w:sz w:val="28"/>
          <w:szCs w:val="28"/>
        </w:rPr>
        <w:t>10.3  Vegetation Factor Derivation</w:t>
      </w:r>
    </w:p>
    <w:p>
      <w:pPr>
        <w:spacing w:after="60" w:before="60"/>
      </w:pPr>
      <w:r>
        <w:rPr>
          <w:rFonts w:ascii="Arial" w:cs="Arial" w:eastAsia="Arial" w:hAnsi="Arial"/>
          <w:sz w:val="22"/>
          <w:szCs w:val="22"/>
        </w:rPr>
        <w:t>F2 is derived directly from the VTI (Vegetation Traffic Impact) value of each polygon: F2 = 1 − VTI. VTI = 0 means no impedance (open ground); VTI = 1 means impassable vegetation.</w:t>
      </w:r>
    </w:p>
    <w:p>
      <w:pPr>
        <w:spacing w:after="80" w:before="80"/>
      </w:pPr>
      <w:r/>
    </w:p>
    <w:p>
      <w:pPr>
        <w:spacing w:after="60" w:before="60"/>
      </w:pPr>
      <w:r>
        <w:rPr>
          <w:rFonts w:ascii="Arial" w:cs="Arial" w:eastAsia="Arial" w:hAnsi="Arial"/>
          <w:sz w:val="22"/>
          <w:szCs w:val="22"/>
        </w:rPr>
        <w:t>F3 accounts for tree spacing and stem diameter relative to vehicle width. If treeSpacing ≤ vehicle_width or stemDiameter ≥ max_override_diameter, F3 is reduced or set to 0.</w:t>
      </w:r>
    </w:p>
    <w:p>
      <w:pPr>
        <w:spacing w:after="80" w:before="80"/>
      </w:pPr>
      <w:r/>
    </w:p>
    <w:p>
      <w:pPr>
        <w:pStyle w:val="Heading2"/>
        <w:spacing w:after="100" w:before="280"/>
      </w:pPr>
      <w:r>
        <w:rPr>
          <w:rFonts w:ascii="Arial" w:cs="Arial" w:eastAsia="Arial" w:hAnsi="Arial"/>
          <w:b/>
          <w:bCs/>
          <w:color w:val="2E75B6"/>
          <w:sz w:val="28"/>
          <w:szCs w:val="28"/>
        </w:rPr>
        <w:t>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Changes</w:t>
            </w:r>
          </w:p>
        </w:tc>
      </w:tr>
      <w:tr>
        <w:tc>
          <w:tcPr>
            <w:tcW w:type="dxa" w:w="1200"/>
          </w:tcPr>
          <w:p>
            <w:r>
              <w:t>0.57</w:t>
            </w:r>
          </w:p>
        </w:tc>
        <w:tc>
          <w:tcPr>
            <w:tcW w:type="dxa" w:w="1400"/>
          </w:tcPr>
          <w:p>
            <w:r>
              <w:t>August 2026</w:t>
            </w:r>
          </w:p>
        </w:tc>
        <w:tc>
          <w:tcPr>
            <w:tcW w:type="dxa" w:w="6760"/>
          </w:tcPr>
          <w:p>
            <w:r>
              <w:t>Integrated the validated Data Intelligence Step 0b engine into the v0.55 toolbox; added logged Anaconda/ArcPy verification, updated project hand-off, and refreshed the English manual and Quick Start.</w:t>
            </w:r>
          </w:p>
        </w:tc>
      </w:tr>
      <w:tr>
        <w:tc>
          <w:tcPr>
            <w:tcW w:type="dxa" w:w="1200"/>
          </w:tcPr>
          <w:p>
            <w:r>
              <w:t>0.55.0</w:t>
            </w:r>
          </w:p>
        </w:tc>
        <w:tc>
          <w:tcPr>
            <w:tcW w:type="dxa" w:w="1400"/>
          </w:tcPr>
          <w:p>
            <w:r>
              <w:t>August 2026</w:t>
            </w:r>
          </w:p>
        </w:tc>
        <w:tc>
          <w:tcPr>
            <w:tcW w:type="dxa" w:w="6760"/>
          </w:tcPr>
          <w:p>
            <w:r>
              <w:t>Consolidation release. This project had diverged across two machines past v0.54.1: one copy had a naming and licensing cleanup applied but was missing every fix from v0.54.2 onward; the other had all those fixes (including the critical v0.54.4 licence-limit fix and the v0.54.2 speed-surface symbology fix) but the cleanup had not yet reached it. v0.55.0 merges them: the fixed codebase, confirmed file-by-file, with the clean naming and licensing applied on top. No functional / geoprocessing behaviour changed beyond what v0.54.2–v0.54.7 already shipped. See CHANGELOG_v0.57.md for the full reconciliation record.</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t>Rename: toolbox product name renamed and standardized throughout (toolbox, source modules, tests, and all documentation, including historical changelogs); toolbox and manual filenames updated to the current CCM_Tool_v0.54.1 convention. Relicensed under SPDX-License-Identifier: GPL-2.0-or-later (previously “All Rights Reserved”); new copyright line: Copyright (c) 2026 Eui Soo SON.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(the v0.46 toolbox .pyt,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Initial public release. Full three-step workflow. Six soil sources, six vegetation sources. Five Step 3 analyses.</w:t>
            </w:r>
          </w:p>
        </w:tc>
      </w:tr>
    </w:tbl>
    <w:p>
      <w:r/>
    </w:p>
    <w:p>
      <w:pPr>
        <w:pStyle w:val="Heading1"/>
        <w:pBdr>
          <w:bottom w:val="single" w:color="2E75B6" w:sz="6" w:space="4"/>
        </w:pBdr>
        <w:spacing w:after="120" w:before="360"/>
      </w:pPr>
      <w:r>
        <w:rPr>
          <w:rFonts w:ascii="Arial" w:cs="Arial" w:eastAsia="Arial" w:hAnsi="Arial"/>
          <w:b/>
          <w:bCs/>
          <w:color w:val="1F3864"/>
          <w:sz w:val="32"/>
          <w:szCs w:val="32"/>
        </w:rPr>
        <w:t>Appendix A — Supported Coordinate Formats</w:t>
      </w:r>
    </w:p>
    <w:p>
      <w:pPr>
        <w:spacing w:after="60" w:before="60"/>
      </w:pPr>
      <w:r>
        <w:rPr>
          <w:rFonts w:ascii="Arial" w:cs="Arial" w:eastAsia="Arial" w:hAnsi="Arial"/>
          <w:sz w:val="22"/>
          <w:szCs w:val="22"/>
        </w:rPr>
        <w:t>The tool accepts start and end point coordinates in any of the following formats. The format is auto-detected; no selection is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w:t>
              <w:br/>
              <w:t>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pPr>
        <w:spacing w:after="80" w:before="80"/>
      </w:pPr>
      <w:r/>
    </w:p>
    <w:p>
      <w:pPr>
        <w:spacing w:after="60" w:before="60"/>
      </w:pPr>
      <w:r>
        <w:rPr>
          <w:rFonts w:ascii="Arial" w:cs="Arial" w:eastAsia="Arial" w:hAnsi="Arial"/>
          <w:sz w:val="22"/>
          <w:szCs w:val="22"/>
        </w:rPr>
        <w:t>The tool also displays coordinate equivalents in all formats in the “Coordinate Equivalents” read-only field immediately below the entry field, allowing operators to confirm their input before running.</w:t>
      </w:r>
    </w:p>
    <w:p>
      <w:pPr>
        <w:spacing w:after="80" w:before="80"/>
      </w:pPr>
      <w:r/>
    </w:p>
    <w:p>
      <w:r/>
    </w:p>
    <w:p>
      <w:pPr>
        <w:pStyle w:val="Heading1"/>
        <w:pBdr>
          <w:bottom w:val="single" w:color="2E75B6" w:sz="6" w:space="4"/>
        </w:pBdr>
        <w:spacing w:after="120" w:before="360"/>
      </w:pPr>
      <w:r>
        <w:rPr>
          <w:rFonts w:ascii="Arial" w:cs="Arial" w:eastAsia="Arial" w:hAnsi="Arial"/>
          <w:b/>
          <w:bCs/>
          <w:color w:val="1F3864"/>
          <w:sz w:val="32"/>
          <w:szCs w:val="32"/>
        </w:rPr>
        <w:t>Appendix B — USCS Soil Classification Reference</w:t>
      </w:r>
    </w:p>
    <w:p>
      <w:pPr>
        <w:spacing w:after="60" w:before="60"/>
      </w:pPr>
      <w:r>
        <w:rPr>
          <w:rFonts w:ascii="Arial" w:cs="Arial" w:eastAsia="Arial" w:hAnsi="Arial"/>
          <w:sz w:val="22"/>
          <w:szCs w:val="22"/>
        </w:rPr>
        <w:t>The following table summarises all USCS codes used in the soilType field, their soil descriptions, typical RCI ranges, and general CCM applicability.</w:t>
      </w:r>
    </w:p>
    <w:p>
      <w:pPr>
        <w:spacing w:after="80" w:before="80"/>
      </w:pP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 xml:space="preserve">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CCM Tool v0.55.1 — User Manual</w:t>
    </w:r>
    <w:r>
      <w:rPr>
        <w:rFonts w:ascii="Arial" w:cs="Arial" w:eastAsia="Arial" w:hAnsi="Arial"/>
        <w:sz w:val="18"/>
        <w:szCs w:val="18"/>
      </w:rPr>
      <w:tab/>
    </w:r>
    <w:r>
      <w:rPr>
        <w:rFonts w:ascii="Arial" w:cs="Arial" w:eastAsia="Arial" w:hAnsi="Arial"/>
        <w:color w:val="888888"/>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dc:title>CCM Tool v0.55.1 - User Manual</dc:title>
  <dc:subject>Cross-Country Mobility (CCM) Assessment Tool</dc:subject>
</cp:coreProperties>
</file>

<file path=docProps/custom.xml><?xml version="1.0" encoding="utf-8"?>
<Properties xmlns="http://schemas.openxmlformats.org/officeDocument/2006/custom-properties" xmlns:vt="http://schemas.openxmlformats.org/officeDocument/2006/docPropsVTypes"/>
</file>