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 xml:space="preserve">Cross-Country Mobility Tool</w:t>
      </w:r>
    </w:p>
    <w:p>
      <w:pPr>
        <w:spacing w:after="120" w:before="0"/>
        <w:jc w:val="center"/>
      </w:pPr>
      <w:r>
        <w:rPr>
          <w:rFonts w:ascii="Arial" w:cs="Arial" w:eastAsia="Arial" w:hAnsi="Arial"/>
          <w:b/>
          <w:bCs/>
          <w:color w:val="1F3864"/>
          <w:sz w:val="40"/>
          <w:szCs w:val="40"/>
        </w:rPr>
        <w:t xml:space="preserve">User Manual</w:t>
      </w:r>
    </w:p>
    <w:p>
      <w:pPr>
        <w:spacing w:after="720" w:before="0"/>
        <w:jc w:val="center"/>
      </w:pPr>
      <w:r>
        <w:rPr>
          <w:rFonts w:ascii="Arial" w:cs="Arial" w:eastAsia="Arial" w:hAnsi="Arial"/>
          <w:color w:val="2E75B6"/>
          <w:sz w:val="28"/>
          <w:szCs w:val="28"/>
        </w:rPr>
        <w:t>Version 0.55.1</w:t>
      </w:r>
    </w:p>
    <w:p>
      <w:pPr>
        <w:pBdr>
          <w:bottom w:val="single" w:color="CCCCCC" w:sz="4" w:space="2"/>
        </w:pBdr>
        <w:spacing w:after="120" w:before="120"/>
      </w:pPr>
      <w:r>
        <w:t xml:space="preserve"/>
      </w:r>
    </w:p>
    <w:p>
      <w:pPr>
        <w:spacing w:after="60" w:before="240"/>
        <w:jc w:val="center"/>
      </w:pPr>
      <w:r>
        <w:rPr>
          <w:rFonts w:ascii="Arial" w:cs="Arial" w:eastAsia="Arial" w:hAnsi="Arial"/>
          <w:color w:val="555555"/>
          <w:sz w:val="24"/>
          <w:szCs w:val="24"/>
        </w:rPr>
        <w:t xml:space="preserve">ArcGIS Pro Python Toolbox</w:t>
      </w:r>
    </w:p>
    <w:p>
      <w:pPr>
        <w:spacing w:after="60" w:before="0"/>
        <w:jc w:val="center"/>
      </w:pPr>
      <w:r>
        <w:rPr>
          <w:rFonts w:ascii="Arial" w:cs="Arial" w:eastAsia="Arial" w:hAnsi="Arial"/>
          <w:color w:val="555555"/>
          <w:sz w:val="24"/>
          <w:szCs w:val="24"/>
        </w:rPr>
        <w:t xml:space="preserve">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t xml:space="preserve"/>
      </w:r>
    </w:p>
    <w:p>
      <w:pPr>
        <w:spacing w:after="120" w:before="120"/>
        <w:jc w:val="center"/>
      </w:pPr>
      <w:r>
        <w:rPr>
          <w:rFonts w:ascii="Arial" w:cs="Arial" w:eastAsia="Arial" w:hAnsi="Arial"/>
          <w:b/>
          <w:bCs/>
          <w:color w:val="2E75B6"/>
          <w:sz w:val="26"/>
          <w:szCs w:val="26"/>
        </w:rPr>
        <w:t xml:space="preserve">“Can this vehicle cross this terrain — and how fast?”</w:t>
      </w:r>
    </w:p>
    <w:p>
      <w:pPr>
        <w:spacing w:after="80" w:before="80"/>
      </w:pPr>
      <w:r>
        <w:t xml:space="preserve"/>
      </w:r>
    </w:p>
    <w:p>
      <w:pPr>
        <w:spacing w:after="60" w:before="60"/>
      </w:pPr>
      <w:r>
        <w:rPr>
          <w:rFonts w:ascii="Arial" w:cs="Arial" w:eastAsia="Arial" w:hAnsi="Arial"/>
          <w:sz w:val="22"/>
          <w:szCs w:val="22"/>
        </w:rPr>
        <w:t xml:space="preserve">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  Key Capabilities</w:t>
      </w:r>
    </w:p>
    <w:p>
      <w:pPr>
        <w:pStyle w:val="ListParagraph"/>
        <w:numPr>
          <w:ilvl w:val="0"/>
          <w:numId w:val="2"/>
        </w:numPr>
        <w:spacing w:after="40" w:before="40"/>
      </w:pPr>
      <w:r>
        <w:rPr>
          <w:rFonts w:ascii="Arial" w:cs="Arial" w:eastAsia="Arial" w:hAnsi="Arial"/>
          <w:sz w:val="22"/>
          <w:szCs w:val="22"/>
        </w:rPr>
        <w:t xml:space="preserve">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 xml:space="preserve">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 xml:space="preserve">Identify WHY areas are blocked or slow (Reason Map)</w:t>
      </w:r>
    </w:p>
    <w:p>
      <w:pPr>
        <w:pStyle w:val="ListParagraph"/>
        <w:numPr>
          <w:ilvl w:val="0"/>
          <w:numId w:val="2"/>
        </w:numPr>
        <w:spacing w:after="40" w:before="40"/>
      </w:pPr>
      <w:r>
        <w:rPr>
          <w:rFonts w:ascii="Arial" w:cs="Arial" w:eastAsia="Arial" w:hAnsi="Arial"/>
          <w:sz w:val="22"/>
          <w:szCs w:val="22"/>
        </w:rPr>
        <w:t xml:space="preserve">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 xml:space="preserve">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 xml:space="preserve">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 xml:space="preserve">Find the time-optimal route between two points on the terrain</w:t>
      </w:r>
    </w:p>
    <w:p>
      <w:pPr>
        <w:pStyle w:val="ListParagraph"/>
        <w:numPr>
          <w:ilvl w:val="0"/>
          <w:numId w:val="2"/>
        </w:numPr>
        <w:spacing w:after="40" w:before="40"/>
      </w:pPr>
      <w:r>
        <w:rPr>
          <w:rFonts w:ascii="Arial" w:cs="Arial" w:eastAsia="Arial" w:hAnsi="Arial"/>
          <w:sz w:val="22"/>
          <w:szCs w:val="22"/>
        </w:rPr>
        <w:t xml:space="preserve">Accept coordinates in MGRS, Decimal Degrees, DMS, DDM, or UTM formats</w:t>
      </w:r>
    </w:p>
    <w:p>
      <w:pPr>
        <w:pStyle w:val="ListParagraph"/>
        <w:numPr>
          <w:ilvl w:val="0"/>
          <w:numId w:val="2"/>
        </w:numPr>
        <w:spacing w:after="40" w:before="40"/>
      </w:pPr>
      <w:r>
        <w:rPr>
          <w:rFonts w:ascii="Arial" w:cs="Arial" w:eastAsia="Arial" w:hAnsi="Arial"/>
          <w:sz w:val="22"/>
          <w:szCs w:val="22"/>
        </w:rPr>
        <w:t xml:space="preserve">Integrate real-time rainfall data to adjust soil trafficability dynamically</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How the Tool Works — The Five Factors</w:t>
      </w:r>
    </w:p>
    <w:p>
      <w:pPr>
        <w:spacing w:after="60" w:before="60"/>
      </w:pPr>
      <w:r>
        <w:rPr>
          <w:rFonts w:ascii="Arial" w:cs="Arial" w:eastAsia="Arial" w:hAnsi="Arial"/>
          <w:sz w:val="22"/>
          <w:szCs w:val="22"/>
        </w:rPr>
        <w:t xml:space="preserve">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FC</w:t>
            </w:r>
          </w:p>
        </w:tc>
      </w:tr>
    </w:tbl>
    <w:p>
      <w:pPr>
        <w:spacing w:after="80" w:before="80"/>
      </w:pPr>
      <w:r>
        <w:t xml:space="preserve"/>
      </w:r>
    </w:p>
    <w:p>
      <w:pPr>
        <w:spacing w:after="60" w:before="60"/>
      </w:pPr>
      <w:r>
        <w:rPr>
          <w:rFonts w:ascii="Arial" w:cs="Arial" w:eastAsia="Arial" w:hAnsi="Arial"/>
          <w:sz w:val="22"/>
          <w:szCs w:val="22"/>
        </w:rPr>
        <w:t xml:space="preserve">The final speed for each polygon is:</w:t>
      </w:r>
    </w:p>
    <w:p>
      <w:pPr>
        <w:spacing w:after="80" w:before="80"/>
        <w:jc w:val="center"/>
      </w:pPr>
      <w:r>
        <w:rPr>
          <w:rFonts w:ascii="Courier New" w:cs="Courier New" w:eastAsia="Courier New" w:hAnsi="Courier New"/>
          <w:color w:val="1F3864"/>
          <w:sz w:val="20"/>
          <w:szCs w:val="20"/>
        </w:rPr>
        <w:t xml:space="preserve">Speed (km/h) = Vehicle Max Speed × min(F1, F2, F3, F_soil, F_hydro)</w:t>
      </w:r>
    </w:p>
    <w:p>
      <w:pPr>
        <w:spacing w:after="60" w:before="60"/>
      </w:pPr>
      <w:r>
        <w:rPr>
          <w:rFonts w:ascii="Arial" w:cs="Arial" w:eastAsia="Arial" w:hAnsi="Arial"/>
          <w:sz w:val="22"/>
          <w:szCs w:val="22"/>
        </w:rPr>
        <w:t xml:space="preserve">If any single factor equals 0.0, the polygon is a No-Go for that vehicle regardless of the other factors.</w:t>
      </w:r>
    </w:p>
    <w:p>
      <w:pPr>
        <w:spacing w:after="80" w:before="80"/>
      </w:pPr>
      <w:r>
        <w:t xml:space="preserve"/>
      </w:r>
    </w:p>
    <w:p>
      <w:pPr>
        <w:pStyle w:val="Heading2"/>
        <w:spacing w:after="100" w:before="280"/>
      </w:pPr>
      <w:r>
        <w:rPr>
          <w:rFonts w:ascii="Arial" w:cs="Arial" w:eastAsia="Arial" w:hAnsi="Arial"/>
          <w:b/>
          <w:bCs/>
          <w:color w:val="2E75B6"/>
          <w:sz w:val="28"/>
          <w:szCs w:val="28"/>
        </w:rPr>
        <w:t>1.4  Tool Architecture — Steps 0 to 4</w:t>
      </w:r>
    </w:p>
    <w:p>
      <w:pPr>
        <w:spacing w:after="60" w:before="60"/>
      </w:pPr>
      <w:r>
        <w:rPr>
          <w:rFonts w:ascii="Arial" w:cs="Arial" w:eastAsia="Arial" w:hAnsi="Arial"/>
          <w:sz w:val="22"/>
          <w:szCs w:val="22"/>
        </w:rPr>
        <w:t xml:space="preserve">All analysis is organised into sequential steps. Step 0 (optional, new in v0.50) consolidates raw MGCP source data into a single geodatabase; completing Step 1 once is then sufficient for all subsequent runs — you never re-enter data.</w:t>
      </w:r>
      <w:r>
        <w:rPr>
          <w:rFonts w:ascii="Arial" w:hAnsi="Arial"/>
          <w:sz w:val="22"/>
        </w:rPr>
        <w:t xml:space="preserve"> Step 4 (optional) offers the same vehicle-comparison analysis as a standalone tool — useful for comparing speed surfaces from different project folders without re-running Step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 xml:space="preserve">Who Is This Section For?</w:t>
            </w:r>
          </w:p>
          <w:p>
            <w:pPr>
              <w:spacing w:after="0" w:before="0"/>
            </w:pPr>
            <w:r>
              <w:rPr>
                <w:rFonts w:ascii="Arial" w:cs="Arial" w:eastAsia="Arial" w:hAnsi="Arial"/>
                <w:sz w:val="22"/>
                <w:szCs w:val="22"/>
              </w:rPr>
              <w:t xml:space="preserve">This section is for field operators and mission planners who need to run the tool quickly. It assumes ArcGIS Pro is already installed and the toolbox has been loaded by a GIS analyst.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2.1  What You Need Before Starting</w:t>
      </w:r>
    </w:p>
    <w:p>
      <w:pPr>
        <w:pStyle w:val="ListParagraph"/>
        <w:numPr>
          <w:ilvl w:val="0"/>
          <w:numId w:val="3"/>
        </w:numPr>
        <w:spacing w:after="40" w:before="40"/>
      </w:pPr>
      <w:r>
        <w:rPr>
          <w:rFonts w:ascii="Arial" w:cs="Arial" w:eastAsia="Arial" w:hAnsi="Arial"/>
          <w:sz w:val="22"/>
          <w:szCs w:val="22"/>
        </w:rPr>
        <w:t xml:space="preserve">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(CCM_Tool_v0.55.1) accessible on your computer</w:t>
      </w:r>
    </w:p>
    <w:p>
      <w:pPr>
        <w:pStyle w:val="ListParagraph"/>
        <w:numPr>
          <w:ilvl w:val="0"/>
          <w:numId w:val="3"/>
        </w:numPr>
        <w:spacing w:after="40" w:before="40"/>
      </w:pPr>
      <w:r>
        <w:rPr>
          <w:rFonts w:ascii="Arial" w:cs="Arial" w:eastAsia="Arial" w:hAnsi="Arial"/>
          <w:sz w:val="22"/>
          <w:szCs w:val="22"/>
        </w:rPr>
        <w:t xml:space="preserve">An Analysis Extent polygon (your study area) in a Projected CRS (e.g., UTM)</w:t>
      </w:r>
    </w:p>
    <w:p>
      <w:pPr>
        <w:pStyle w:val="ListParagraph"/>
        <w:numPr>
          <w:ilvl w:val="0"/>
          <w:numId w:val="3"/>
        </w:numPr>
        <w:spacing w:after="40" w:before="40"/>
      </w:pPr>
      <w:r>
        <w:rPr>
          <w:rFonts w:ascii="Arial" w:cs="Arial" w:eastAsia="Arial" w:hAnsi="Arial"/>
          <w:sz w:val="22"/>
          <w:szCs w:val="22"/>
        </w:rPr>
        <w:t xml:space="preserve">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 xml:space="preserve">Pre-processed soil data (your GIS analyst sets this up in Step 1)</w:t>
      </w:r>
    </w:p>
    <w:p>
      <w:pPr>
        <w:pStyle w:val="ListParagraph"/>
        <w:numPr>
          <w:ilvl w:val="0"/>
          <w:numId w:val="3"/>
        </w:numPr>
        <w:spacing w:after="40" w:before="40"/>
      </w:pPr>
      <w:r>
        <w:rPr>
          <w:rFonts w:ascii="Arial" w:cs="Arial" w:eastAsia="Arial" w:hAnsi="Arial"/>
          <w:sz w:val="22"/>
          <w:szCs w:val="22"/>
        </w:rPr>
        <w:t xml:space="preserve">Pre-processed vegetation data (your GIS analyst sets this up in Step 1)</w:t>
      </w:r>
    </w:p>
    <w:p>
      <w:pPr>
        <w:pStyle w:val="ListParagraph"/>
        <w:numPr>
          <w:ilvl w:val="0"/>
          <w:numId w:val="3"/>
        </w:numPr>
        <w:spacing w:after="40" w:before="40"/>
      </w:pPr>
      <w:r>
        <w:rPr>
          <w:rFonts w:ascii="Arial" w:cs="Arial" w:eastAsia="Arial" w:hAnsi="Arial"/>
          <w:sz w:val="22"/>
          <w:szCs w:val="22"/>
        </w:rPr>
        <w:t xml:space="preserve">A Vehicle Definitions CSV file (Vehicles_Can.csv is included)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2.2  Loading the Toolbox in ArcGIS Pro</w:t>
      </w:r>
    </w:p>
    <w:p>
      <w:pPr>
        <w:pStyle w:val="ListParagraph"/>
        <w:numPr>
          <w:ilvl w:val="0"/>
          <w:numId w:val="3"/>
        </w:numPr>
        <w:spacing w:after="40" w:before="40"/>
      </w:pPr>
      <w:r>
        <w:rPr>
          <w:rFonts w:ascii="Arial" w:cs="Arial" w:eastAsia="Arial" w:hAnsi="Arial"/>
          <w:sz w:val="22"/>
          <w:szCs w:val="22"/>
        </w:rPr>
        <w:t xml:space="preserve">Open ArcGIS Pro and your project.</w:t>
      </w:r>
    </w:p>
    <w:p>
      <w:pPr>
        <w:pStyle w:val="ListParagraph"/>
        <w:numPr>
          <w:ilvl w:val="0"/>
          <w:numId w:val="3"/>
        </w:numPr>
        <w:spacing w:after="40" w:before="40"/>
      </w:pPr>
      <w:r>
        <w:rPr>
          <w:rFonts w:ascii="Arial" w:cs="Arial" w:eastAsia="Arial" w:hAnsi="Arial"/>
          <w:sz w:val="22"/>
          <w:szCs w:val="22"/>
        </w:rPr>
        <w:t xml:space="preserve">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CCM_Tool_v0.55.1 folder and select CCM_Tool_v0.55.1.pyt.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Once the toolbox is added to your ArcGIS Pro project, it will be remembered next time you open that project. You only need to add it once.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2.3  Running the Tool — Step by Step</w:t>
      </w:r>
    </w:p>
    <w:p>
      <w:pPr>
        <w:pStyle w:val="Heading3"/>
        <w:spacing w:after="80" w:before="200"/>
      </w:pPr>
      <w:r>
        <w:rPr>
          <w:rFonts w:ascii="Arial" w:cs="Arial" w:eastAsia="Arial" w:hAnsi="Arial"/>
          <w:b/>
          <w:bCs/>
          <w:color w:val="1F3864"/>
          <w:sz w:val="24"/>
          <w:szCs w:val="24"/>
        </w:rPr>
        <w:t xml:space="preserve">Step 1 — Project Setup (one time only)</w:t>
      </w:r>
    </w:p>
    <w:p>
      <w:pPr>
        <w:pStyle w:val="ListParagraph"/>
        <w:numPr>
          <w:ilvl w:val="0"/>
          <w:numId w:val="3"/>
        </w:numPr>
        <w:spacing w:after="40" w:before="40"/>
      </w:pPr>
      <w:r>
        <w:rPr>
          <w:rFonts w:ascii="Arial" w:cs="Arial" w:eastAsia="Arial" w:hAnsi="Arial"/>
          <w:sz w:val="22"/>
          <w:szCs w:val="22"/>
        </w:rPr>
        <w:t xml:space="preserve">Double-click Step 1. Project Setup &amp; Pre-process.</w:t>
      </w:r>
    </w:p>
    <w:p>
      <w:pPr>
        <w:pStyle w:val="ListParagraph"/>
        <w:numPr>
          <w:ilvl w:val="0"/>
          <w:numId w:val="3"/>
        </w:numPr>
        <w:spacing w:after="40" w:before="40"/>
      </w:pPr>
      <w:r>
        <w:rPr>
          <w:rFonts w:ascii="Arial" w:cs="Arial" w:eastAsia="Arial" w:hAnsi="Arial"/>
          <w:sz w:val="22"/>
          <w:szCs w:val="22"/>
        </w:rPr>
        <w:t xml:space="preserve">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 xml:space="preserve">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 xml:space="preserve">Set DEM or Slope Regions (or both).</w:t>
      </w:r>
    </w:p>
    <w:p>
      <w:pPr>
        <w:pStyle w:val="ListParagraph"/>
        <w:numPr>
          <w:ilvl w:val="0"/>
          <w:numId w:val="3"/>
        </w:numPr>
        <w:spacing w:after="40" w:before="40"/>
      </w:pPr>
      <w:r>
        <w:rPr>
          <w:rFonts w:ascii="Arial" w:cs="Arial" w:eastAsia="Arial" w:hAnsi="Arial"/>
          <w:sz w:val="22"/>
          <w:szCs w:val="22"/>
        </w:rPr>
        <w:t xml:space="preserve">Set Default Soil Moisture Condition (dry / moist / wet).</w:t>
      </w:r>
    </w:p>
    <w:p>
      <w:pPr>
        <w:pStyle w:val="ListParagraph"/>
        <w:numPr>
          <w:ilvl w:val="0"/>
          <w:numId w:val="3"/>
        </w:numPr>
        <w:spacing w:after="40" w:before="40"/>
      </w:pPr>
      <w:r>
        <w:rPr>
          <w:rFonts w:ascii="Arial" w:cs="Arial" w:eastAsia="Arial" w:hAnsi="Arial"/>
          <w:sz w:val="22"/>
          <w:szCs w:val="22"/>
        </w:rPr>
        <w:t xml:space="preserve">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 xml:space="preserve">Under Vegetation Pre-processing: select your vegetation raster files.</w:t>
      </w:r>
    </w:p>
    <w:p>
      <w:pPr>
        <w:pStyle w:val="ListParagraph"/>
        <w:numPr>
          <w:ilvl w:val="0"/>
          <w:numId w:val="3"/>
        </w:numPr>
        <w:spacing w:after="40" w:before="40"/>
      </w:pPr>
      <w:r>
        <w:rPr>
          <w:rFonts w:ascii="Arial" w:cs="Arial" w:eastAsia="Arial" w:hAnsi="Arial"/>
          <w:sz w:val="22"/>
          <w:szCs w:val="22"/>
        </w:rPr>
        <w:t xml:space="preserve">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 xml:space="preserve">Click Run. The tool will pre-process all inputs and save ccm_project.json in your output folder.</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2 — Generate the Mobility Map</w:t>
      </w:r>
    </w:p>
    <w:p>
      <w:pPr>
        <w:pStyle w:val="ListParagraph"/>
        <w:numPr>
          <w:ilvl w:val="0"/>
          <w:numId w:val="3"/>
        </w:numPr>
        <w:spacing w:after="40" w:before="40"/>
      </w:pPr>
      <w:r>
        <w:rPr>
          <w:rFonts w:ascii="Arial" w:cs="Arial" w:eastAsia="Arial" w:hAnsi="Arial"/>
          <w:sz w:val="22"/>
          <w:szCs w:val="22"/>
        </w:rPr>
        <w:t xml:space="preserve">Double-click Step 2.</w:t>
      </w:r>
    </w:p>
    <w:p>
      <w:pPr>
        <w:pStyle w:val="ListParagraph"/>
        <w:numPr>
          <w:ilvl w:val="0"/>
          <w:numId w:val="3"/>
        </w:numPr>
        <w:spacing w:after="40" w:before="40"/>
      </w:pPr>
      <w:r>
        <w:rPr>
          <w:rFonts w:ascii="Arial" w:cs="Arial" w:eastAsia="Arial" w:hAnsi="Arial"/>
          <w:sz w:val="22"/>
          <w:szCs w:val="22"/>
        </w:rPr>
        <w:t xml:space="preserve">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 xml:space="preserve">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 xml:space="preserve">Set the soil moisture condition.</w:t>
      </w:r>
    </w:p>
    <w:p>
      <w:pPr>
        <w:pStyle w:val="ListParagraph"/>
        <w:numPr>
          <w:ilvl w:val="0"/>
          <w:numId w:val="3"/>
        </w:numPr>
        <w:spacing w:after="40" w:before="40"/>
      </w:pPr>
      <w:r>
        <w:rPr>
          <w:rFonts w:ascii="Arial" w:cs="Arial" w:eastAsia="Arial" w:hAnsi="Arial"/>
          <w:sz w:val="22"/>
          <w:szCs w:val="22"/>
        </w:rPr>
        <w:t xml:space="preserve">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 xml:space="preserve">Click Run. The tool generates a speed surface polygon FC in your project GDB.</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Step 3 — Advanced Analysis (optional)</w:t>
      </w:r>
    </w:p>
    <w:p>
      <w:pPr>
        <w:pStyle w:val="ListParagraph"/>
        <w:numPr>
          <w:ilvl w:val="0"/>
          <w:numId w:val="3"/>
        </w:numPr>
        <w:spacing w:after="40" w:before="40"/>
      </w:pPr>
      <w:r>
        <w:rPr>
          <w:rFonts w:ascii="Arial" w:cs="Arial" w:eastAsia="Arial" w:hAnsi="Arial"/>
          <w:sz w:val="22"/>
          <w:szCs w:val="22"/>
        </w:rPr>
        <w:t xml:space="preserve">Double-click Step 3. Advanced Analysis.</w:t>
      </w:r>
    </w:p>
    <w:p>
      <w:pPr>
        <w:pStyle w:val="ListParagraph"/>
        <w:numPr>
          <w:ilvl w:val="0"/>
          <w:numId w:val="3"/>
        </w:numPr>
        <w:spacing w:after="40" w:before="40"/>
      </w:pPr>
      <w:r>
        <w:rPr>
          <w:rFonts w:ascii="Arial" w:cs="Arial" w:eastAsia="Arial" w:hAnsi="Arial"/>
          <w:sz w:val="22"/>
          <w:szCs w:val="22"/>
        </w:rPr>
        <w:t xml:space="preserve">Select your Project Folder (auto-fills Speed Surface FC).</w:t>
      </w:r>
    </w:p>
    <w:p>
      <w:pPr>
        <w:pStyle w:val="ListParagraph"/>
        <w:numPr>
          <w:ilvl w:val="0"/>
          <w:numId w:val="3"/>
        </w:numPr>
        <w:spacing w:after="40" w:before="40"/>
      </w:pPr>
      <w:r>
        <w:rPr>
          <w:rFonts w:ascii="Arial" w:cs="Arial" w:eastAsia="Arial" w:hAnsi="Arial"/>
          <w:sz w:val="22"/>
          <w:szCs w:val="22"/>
        </w:rPr>
        <w:t xml:space="preserve">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 xml:space="preserve">Fill in any required parameters for the enabled analyses.</w:t>
      </w:r>
    </w:p>
    <w:p>
      <w:pPr>
        <w:pStyle w:val="ListParagraph"/>
        <w:numPr>
          <w:ilvl w:val="0"/>
          <w:numId w:val="3"/>
        </w:numPr>
        <w:spacing w:after="40" w:before="40"/>
      </w:pPr>
      <w:r>
        <w:rPr>
          <w:rFonts w:ascii="Arial" w:cs="Arial" w:eastAsia="Arial" w:hAnsi="Arial"/>
          <w:sz w:val="22"/>
          <w:szCs w:val="22"/>
        </w:rPr>
        <w:t xml:space="preserve">Click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Note</w:t>
            </w:r>
          </w:p>
          <w:p>
            <w:pPr>
              <w:spacing w:after="0" w:before="0"/>
            </w:pPr>
            <w:r>
              <w:rPr>
                <w:rFonts w:ascii="Arial" w:cs="Arial" w:eastAsia="Arial" w:hAnsi="Arial"/>
                <w:sz w:val="22"/>
                <w:szCs w:val="22"/>
              </w:rPr>
              <w:t xml:space="preserve">You can run Step 3 multiple times with different settings without re-running Steps 1 or 2. The project config (ccm_project.json) persists all your data paths.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2.4  Reading the Output Map</w:t>
      </w:r>
    </w:p>
    <w:p>
      <w:pPr>
        <w:spacing w:after="60" w:before="60"/>
      </w:pPr>
      <w:r>
        <w:rPr>
          <w:rFonts w:ascii="Arial" w:cs="Arial" w:eastAsia="Arial" w:hAnsi="Arial"/>
          <w:sz w:val="22"/>
          <w:szCs w:val="22"/>
        </w:rPr>
        <w:t xml:space="preserve">The main output is a polygon feature class with per-vehicle speed values. Apply the included Mobility_Symbology_Final.lyrx symbology file to display it in standard CCM colours: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Cannot be crossed regardless of conditions</w:t>
            </w:r>
          </w:p>
        </w:tc>
      </w:tr>
    </w:tbl>
    <w:p>
      <w:r>
        <w:br w:type="page"/>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 xml:space="preserve">2.5  Step 0 — Load MGCP Data (new in v0.50)</w:t>
      </w:r>
    </w:p>
    <w:p>
      <w:pPr>
        <w:spacing w:after="120"/>
      </w:pPr>
      <w:r>
        <w:rPr>
          <w:rFonts w:ascii="Arial" w:cs="Arial" w:eastAsia="Arial" w:hAnsi="Arial"/>
          <w:sz w:val="22"/>
          <w:szCs w:val="22"/>
        </w:rPr>
        <w:t xml:space="preserve">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 xml:space="preserve">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 xml:space="preserve">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 xml:space="preserve">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 xml:space="preserve">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rPr>
          <w:rFonts w:ascii="Arial" w:cs="Arial" w:eastAsia="Arial" w:hAnsi="Arial"/>
          <w:b/>
          <w:bCs/>
          <w:color w:val="2E75B6"/>
          <w:sz w:val="28"/>
          <w:szCs w:val="28"/>
        </w:rPr>
        <w:t xml:space="preserve">2.6  One-Folder Data Root (new in v0.52)</w:t>
      </w:r>
    </w:p>
    <w:p>
      <w:pPr>
        <w:spacing w:after="120"/>
      </w:pPr>
      <w:r>
        <w:rPr>
          <w:rFonts w:ascii="Arial" w:cs="Arial" w:eastAsia="Arial" w:hAnsi="Arial"/>
          <w:sz w:val="22"/>
          <w:szCs w:val="22"/>
        </w:rPr>
        <w:t xml:space="preserve">Instead of browsing to each dataset one by one, place everything under a single parent folder with descriptive subfolder names — for example: MyProject_Data containing MGCP, Soil, DEM, Contours, Vegetation, Hydro, Vehicle and Extent subfolders. Then set the new Data Root Folder parameter on Step 0 and/or Step 1: every input you left empty is filled automatically. Anything you set explicitly is never overwritten.</w:t>
      </w:r>
    </w:p>
    <w:p>
      <w:pPr>
        <w:spacing w:after="120"/>
      </w:pPr>
      <w:r>
        <w:rPr>
          <w:rFonts w:ascii="Arial" w:cs="Arial" w:eastAsia="Arial" w:hAnsi="Arial"/>
          <w:b/>
          <w:sz w:val="22"/>
          <w:szCs w:val="22"/>
        </w:rPr>
        <w:t xml:space="preserve">How detection works.  </w:t>
      </w:r>
      <w:r>
        <w:rPr>
          <w:rFonts w:ascii="Arial" w:cs="Arial" w:eastAsia="Arial" w:hAnsi="Arial"/>
          <w:sz w:val="22"/>
          <w:szCs w:val="22"/>
        </w:rPr>
        <w:t xml:space="preserve">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rPr>
          <w:rFonts w:ascii="Arial" w:cs="Arial" w:eastAsia="Arial" w:hAnsi="Arial"/>
          <w:b/>
          <w:sz w:val="22"/>
          <w:szCs w:val="22"/>
        </w:rPr>
        <w:t xml:space="preserve">When there are duplicates.  </w:t>
      </w:r>
      <w:r>
        <w:rPr>
          <w:rFonts w:ascii="Arial" w:cs="Arial" w:eastAsia="Arial" w:hAnsi="Arial"/>
          <w:sz w:val="22"/>
          <w:szCs w:val="22"/>
        </w:rPr>
        <w:t xml:space="preserve">If two or more datasets exist for the same role, the tool picks the best by expected accuracy and lists the alternatives in the geoprocessing messages: Soil — SSURGO (US) over SLC/DSS (Canada) over SoilGrids (250 m) over HWSD (1 km) over generic; DEM — LiDAR/HRDEM over CDEM/SRTM/ASTER, then finest file; Vegetation — Canada Bio (LAI/fCOVER) over GEDI canopy over WorldCover/NLCD, with all tiles of the winning product loading together; Hydrology — every detected layer loads. Review the auto-filled dialog before running — you can always swap in an alternative manually.</w:t>
      </w:r>
    </w:p>
    <w:p>
      <w:pPr>
        <w:pStyle w:val="Heading1"/>
        <w:pBdr>
          <w:bottom w:val="single" w:color="2E75B6" w:sz="6" w:space="4"/>
        </w:pBdr>
        <w:spacing w:after="120" w:before="360"/>
      </w:pPr>
      <w:r>
        <w:rPr>
          <w:rFonts w:ascii="Arial" w:cs="Arial" w:eastAsia="Arial" w:hAnsi="Arial"/>
          <w:b/>
          <w:bCs/>
          <w:color w:val="1F3864"/>
          <w:sz w:val="32"/>
          <w:szCs w:val="32"/>
        </w:rPr>
        <w:t xml:space="preserve">3.  System Requirements</w:t>
      </w:r>
    </w:p>
    <w:p>
      <w:pPr>
        <w:pStyle w:val="Heading2"/>
        <w:spacing w:after="100" w:before="280"/>
      </w:pPr>
      <w:r>
        <w:rPr>
          <w:rFonts w:ascii="Arial" w:cs="Arial" w:eastAsia="Arial" w:hAnsi="Arial"/>
          <w:b/>
          <w:bCs/>
          <w:color w:val="2E75B6"/>
          <w:sz w:val="28"/>
          <w:szCs w:val="28"/>
        </w:rPr>
        <w:t xml:space="preserve">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vehicle CSV loading and soil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used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3.3  Data Requirements</w:t>
      </w:r>
    </w:p>
    <w:p>
      <w:pPr>
        <w:spacing w:after="60" w:before="60"/>
      </w:pPr>
      <w:r>
        <w:rPr>
          <w:rFonts w:ascii="Arial" w:cs="Arial" w:eastAsia="Arial" w:hAnsi="Arial"/>
          <w:sz w:val="22"/>
          <w:szCs w:val="22"/>
        </w:rPr>
        <w:t xml:space="preserve">The following data types are needed. At least one soil source and one vegetation source are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Improves slope break detection and veg height normalisation.</w:t>
            </w:r>
            <w:r>
              <w:rPr>
                <w:rFonts w:ascii="Arial" w:hAnsi="Arial"/>
                <w:sz w:val="20"/>
              </w:rPr>
              <w:t xml:space="preserve"> Should share the Analysis Extent's Projected CRS (v0.54.0 warns if not).</w:t>
            </w:r>
          </w:p>
        </w:tc>
      </w:tr>
    </w:tbl>
    <w:p>
      <w:r>
        <w:br w:type="page"/>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 xml:space="preserve">4.  Step 1 — Project Setup &amp; Pre-process</w:t>
      </w:r>
    </w:p>
    <w:p>
      <w:pPr>
        <w:spacing w:after="60" w:before="60"/>
      </w:pPr>
      <w:r>
        <w:rPr>
          <w:rFonts w:ascii="Arial" w:cs="Arial" w:eastAsia="Arial" w:hAnsi="Arial"/>
          <w:sz w:val="22"/>
          <w:szCs w:val="22"/>
        </w:rPr>
        <w:t xml:space="preserve">Step 1 is the data-entry step. You run it once per project area. It pre-processes raw soil and vegetation inputs into CCM-ready polygon layers and saves ccm_project.json so all downstream tools auto-populate.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4.1  Parameter Reference</w:t>
      </w:r>
    </w:p>
    <w:p>
      <w:pPr>
        <w:pStyle w:val="Heading3"/>
        <w:spacing w:after="80" w:before="200"/>
      </w:pPr>
      <w:r>
        <w:rPr>
          <w:rFonts w:ascii="Arial" w:cs="Arial" w:eastAsia="Arial" w:hAnsi="Arial"/>
          <w:b/>
          <w:bCs/>
          <w:color w:val="1F3864"/>
          <w:sz w:val="24"/>
          <w:szCs w:val="24"/>
        </w:rPr>
        <w:t xml:space="preserve">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Sets the default for Step 2 and 3 analyses. Options: dry / moist / wet.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soil FC (soilType field), skip pre-processing by entering it here.</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If you already have a CCM-ready vegetation FC, enter it here to skip pre-processing.</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Falls back to safe CCM defaults for unmapped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Note: MODIS and NOAA VH Not Supported</w:t>
            </w:r>
          </w:p>
          <w:p>
            <w:pPr>
              <w:spacing w:after="0" w:before="0"/>
            </w:pPr>
            <w:r>
              <w:rPr>
                <w:rFonts w:ascii="Arial" w:cs="Arial" w:eastAsia="Arial" w:hAnsi="Arial"/>
                <w:sz w:val="22"/>
                <w:szCs w:val="22"/>
              </w:rPr>
              <w:t xml:space="preserve">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Output: ccm_project.json</w:t>
      </w:r>
    </w:p>
    <w:p>
      <w:pPr>
        <w:spacing w:after="60" w:before="60"/>
      </w:pPr>
      <w:r>
        <w:rPr>
          <w:rFonts w:ascii="Arial" w:cs="Arial" w:eastAsia="Arial" w:hAnsi="Arial"/>
          <w:sz w:val="22"/>
          <w:szCs w:val="22"/>
        </w:rPr>
        <w:t xml:space="preserve">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t xml:space="preserve"/>
      </w:r>
    </w:p>
    <w:p>
      <w:pPr>
        <w:spacing w:after="60" w:before="60"/>
      </w:pPr>
      <w:r>
        <w:rPr>
          <w:rFonts w:ascii="Arial" w:cs="Arial" w:eastAsia="Arial" w:hAnsi="Arial"/>
          <w:sz w:val="22"/>
          <w:szCs w:val="22"/>
        </w:rPr>
        <w:t xml:space="preserve">Key fields saved in ccm_project.json:</w:t>
      </w:r>
    </w:p>
    <w:p>
      <w:pPr>
        <w:pStyle w:val="ListParagraph"/>
        <w:numPr>
          <w:ilvl w:val="0"/>
          <w:numId w:val="2"/>
        </w:numPr>
        <w:spacing w:after="40" w:before="40"/>
      </w:pPr>
      <w:r>
        <w:rPr>
          <w:rFonts w:ascii="Arial" w:cs="Arial" w:eastAsia="Arial" w:hAnsi="Arial"/>
          <w:sz w:val="22"/>
          <w:szCs w:val="22"/>
        </w:rPr>
        <w:t xml:space="preserve">extent_fc, dem_path, slope_fc, contours_fc</w:t>
      </w:r>
    </w:p>
    <w:p>
      <w:pPr>
        <w:pStyle w:val="ListParagraph"/>
        <w:numPr>
          <w:ilvl w:val="0"/>
          <w:numId w:val="2"/>
        </w:numPr>
        <w:spacing w:after="40" w:before="40"/>
      </w:pPr>
      <w:r>
        <w:rPr>
          <w:rFonts w:ascii="Arial" w:cs="Arial" w:eastAsia="Arial" w:hAnsi="Arial"/>
          <w:sz w:val="22"/>
          <w:szCs w:val="22"/>
        </w:rPr>
        <w:t xml:space="preserve">soil_fc, veg_fc, hydro_fcs</w:t>
      </w:r>
    </w:p>
    <w:p>
      <w:pPr>
        <w:pStyle w:val="ListParagraph"/>
        <w:numPr>
          <w:ilvl w:val="0"/>
          <w:numId w:val="2"/>
        </w:numPr>
        <w:spacing w:after="40" w:before="40"/>
      </w:pPr>
      <w:r>
        <w:rPr>
          <w:rFonts w:ascii="Arial" w:cs="Arial" w:eastAsia="Arial" w:hAnsi="Arial"/>
          <w:sz w:val="22"/>
          <w:szCs w:val="22"/>
        </w:rPr>
        <w:t xml:space="preserve">vehicle_csv, moisture_default</w:t>
      </w:r>
    </w:p>
    <w:p>
      <w:pPr>
        <w:pStyle w:val="ListParagraph"/>
        <w:numPr>
          <w:ilvl w:val="0"/>
          <w:numId w:val="2"/>
        </w:numPr>
        <w:spacing w:after="40" w:before="40"/>
      </w:pPr>
      <w:r>
        <w:rPr>
          <w:rFonts w:ascii="Arial" w:cs="Arial" w:eastAsia="Arial" w:hAnsi="Arial"/>
          <w:sz w:val="22"/>
          <w:szCs w:val="22"/>
        </w:rPr>
        <w:t xml:space="preserve">project_folder, project_gdb</w:t>
      </w:r>
    </w:p>
    <w:p>
      <w:pPr>
        <w:pStyle w:val="ListParagraph"/>
        <w:numPr>
          <w:ilvl w:val="0"/>
          <w:numId w:val="2"/>
        </w:numPr>
        <w:spacing w:after="40" w:before="40"/>
      </w:pPr>
      <w:r>
        <w:rPr>
          <w:rFonts w:ascii="Arial" w:cs="Arial" w:eastAsia="Arial" w:hAnsi="Arial"/>
          <w:sz w:val="22"/>
          <w:szCs w:val="22"/>
        </w:rPr>
        <w:t xml:space="preserve">mobility_map_fc (written by Step 2)</w:t>
      </w:r>
    </w:p>
    <w:p>
      <w:pPr>
        <w:pStyle w:val="ListParagraph"/>
        <w:numPr>
          <w:ilvl w:val="0"/>
          <w:numId w:val="2"/>
        </w:numPr>
        <w:spacing w:after="40" w:before="40"/>
      </w:pPr>
      <w:r>
        <w:rPr>
          <w:rFonts w:ascii="Arial" w:cs="Arial" w:eastAsia="Arial" w:hAnsi="Arial"/>
          <w:sz w:val="22"/>
          <w:szCs w:val="22"/>
        </w:rPr>
        <w:t xml:space="preserve">ccm_version, created, last_updated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Step 2 — Generate Mobility Map</w:t>
      </w:r>
    </w:p>
    <w:p>
      <w:pPr>
        <w:spacing w:after="60" w:before="60"/>
      </w:pPr>
      <w:r>
        <w:rPr>
          <w:rFonts w:ascii="Arial" w:cs="Arial" w:eastAsia="Arial" w:hAnsi="Arial"/>
          <w:sz w:val="22"/>
          <w:szCs w:val="22"/>
        </w:rPr>
        <w:t xml:space="preserve">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t xml:space="preserve"/>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 xml:space="preserve">5.1  What Step 2 Produces</w:t>
      </w:r>
    </w:p>
    <w:p>
      <w:pPr>
        <w:spacing w:after="60" w:before="60"/>
      </w:pPr>
      <w:r>
        <w:rPr>
          <w:rFonts w:ascii="Arial" w:cs="Arial" w:eastAsia="Arial" w:hAnsi="Arial"/>
          <w:sz w:val="22"/>
          <w:szCs w:val="22"/>
        </w:rPr>
        <w:t xml:space="preserve">The output is a polygon feature class (stored in CCM_Project.gdb) with the following key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Stochastic probability of GO (0.0–1.0). Present only when Enable Stochastic P(GO) is checked. Derived from 200 Monte Carlo trials perturbing RCI (CV=0.15) and slope (CV=0.10). See Section 7.6.</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Supported Vehicles</w:t>
      </w:r>
    </w:p>
    <w:p>
      <w:pPr>
        <w:spacing w:after="60" w:before="60"/>
      </w:pPr>
      <w:r>
        <w:rPr>
          <w:rFonts w:ascii="Arial" w:cs="Arial" w:eastAsia="Arial" w:hAnsi="Arial"/>
          <w:sz w:val="22"/>
          <w:szCs w:val="22"/>
        </w:rPr>
        <w:t xml:space="preserve">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35</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5.3  Vehicle CSV Format</w:t>
      </w:r>
    </w:p>
    <w:p>
      <w:pPr>
        <w:spacing w:after="60" w:before="60"/>
      </w:pPr>
      <w:r>
        <w:rPr>
          <w:rFonts w:ascii="Arial" w:cs="Arial" w:eastAsia="Arial" w:hAnsi="Arial"/>
          <w:sz w:val="22"/>
          <w:szCs w:val="22"/>
        </w:rPr>
        <w:t xml:space="preserve">To add custom vehicles, edit or replace Vehicles_Can.csv. The CSV must have a header row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 xml:space="preserve">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 xml:space="preserve">Important</w:t>
            </w:r>
          </w:p>
          <w:p>
            <w:pPr>
              <w:spacing w:after="0" w:before="0"/>
            </w:pPr>
            <w:r>
              <w:rPr>
                <w:rFonts w:ascii="Arial" w:cs="Arial" w:eastAsia="Arial" w:hAnsi="Arial"/>
                <w:sz w:val="22"/>
                <w:szCs w:val="22"/>
              </w:rPr>
              <w:t xml:space="preserve">If a column value is not applicable or unknown, leave the cell blank. Do not enter 0 unless the true value is zero, as 0 may be interpreted as an impassability condition in some factors.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Step 3 — Advanced Analysis</w:t>
      </w:r>
    </w:p>
    <w:p>
      <w:pPr>
        <w:spacing w:after="60" w:before="60"/>
      </w:pPr>
      <w:r>
        <w:rPr>
          <w:rFonts w:ascii="Arial" w:cs="Arial" w:eastAsia="Arial" w:hAnsi="Arial"/>
          <w:sz w:val="22"/>
          <w:szCs w:val="22"/>
        </w:rPr>
        <w:t xml:space="preserve">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6.1  Analysis A — Reason Map</w:t>
      </w:r>
    </w:p>
    <w:p>
      <w:pPr>
        <w:spacing w:after="60" w:before="60"/>
      </w:pPr>
      <w:r>
        <w:rPr>
          <w:rFonts w:ascii="Arial" w:cs="Arial" w:eastAsia="Arial" w:hAnsi="Arial"/>
          <w:sz w:val="22"/>
          <w:szCs w:val="22"/>
        </w:rPr>
        <w:t xml:space="preserve">The Reason Map answers the question: “Why is this polygon red (No Go)?” It inspects the F1–F5 factor values for every polygon and writes a plain-English explanation to a new field called NO_GO_REASON.</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Numeric code for quick symbology. 0=GO, 1=Restricted, 2=No Go–Slope, 3=No Go–Soil, 4=No Go–Water, 5=No Go–Vegetation, 6=No Go–Multiple, 9=Missing Data.</w:t>
            </w:r>
          </w:p>
        </w:tc>
      </w:tr>
    </w:tbl>
    <w:p>
      <w:pPr>
        <w:spacing w:after="80" w:before="80"/>
      </w:pPr>
      <w:r>
        <w:t xml:space="preserve"/>
      </w:r>
    </w:p>
    <w:p>
      <w:pPr>
        <w:spacing w:after="60" w:before="60"/>
      </w:pPr>
      <w:r>
        <w:rPr>
          <w:rFonts w:ascii="Arial" w:cs="Arial" w:eastAsia="Arial" w:hAnsi="Arial"/>
          <w:sz w:val="22"/>
          <w:szCs w:val="22"/>
        </w:rPr>
        <w:t xml:space="preserve">After running, click any polygon in ArcGIS Pro and read NO_GO_REASON in the pop-up / Identify Results panel. This is particularly useful for briefings and obstacle reports.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6.2  Analysis B — Reachability Map (Isochrone)</w:t>
      </w:r>
    </w:p>
    <w:p>
      <w:pPr>
        <w:spacing w:after="60" w:before="60"/>
      </w:pPr>
      <w:r>
        <w:rPr>
          <w:rFonts w:ascii="Arial" w:cs="Arial" w:eastAsia="Arial" w:hAnsi="Arial"/>
          <w:sz w:val="22"/>
          <w:szCs w:val="22"/>
        </w:rPr>
        <w:t xml:space="preserve">The Reachability Map draws rings showing how far a vehicle can travel in a given time from a start point, accounting for terrain speed. It is also called an Isochrone map.</w:t>
      </w:r>
    </w:p>
    <w:p>
      <w:pPr>
        <w:spacing w:after="80" w:before="80"/>
      </w:pPr>
      <w:r>
        <w:t xml:space="preserve"/>
      </w:r>
    </w:p>
    <w:p>
      <w:pPr>
        <w:spacing w:after="60" w:before="60"/>
      </w:pPr>
      <w:r>
        <w:rPr>
          <w:rFonts w:ascii="Arial" w:cs="Arial" w:eastAsia="Arial" w:hAnsi="Arial"/>
          <w:sz w:val="22"/>
          <w:szCs w:val="22"/>
        </w:rPr>
        <w:t xml:space="preserve">The tool uses DistanceAccumulation (ArcGIS Pro 3.5+) for maximum performance, with automatic fallback to CostDistance on older installations.</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speed field in the speed surface FC (default: SpeedKMH).</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p>
      <w:pPr>
        <w:spacing w:after="60" w:before="60"/>
      </w:pPr>
      <w:r>
        <w:rPr>
          <w:rFonts w:ascii="Arial" w:cs="Arial" w:eastAsia="Arial" w:hAnsi="Arial"/>
          <w:sz w:val="22"/>
          <w:szCs w:val="22"/>
        </w:rPr>
        <w:t xml:space="preserve">A polygon feature class with one ring per time interval, labelled with TIME_BAND, MAX_MIN (maximum minutes), and BAND_ORDER fields. Apply the included symbology to display rings in graduated colours.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Analysis C — Vehicle Comparison</w:t>
      </w:r>
    </w:p>
    <w:p>
      <w:pPr>
        <w:spacing w:after="60" w:before="60"/>
      </w:pPr>
      <w:r>
        <w:rPr>
          <w:rFonts w:ascii="Arial" w:cs="Arial" w:eastAsia="Arial" w:hAnsi="Arial"/>
          <w:sz w:val="22"/>
          <w:szCs w:val="22"/>
        </w:rPr>
        <w:t xml:space="preserve">The Vehicle Comparison analysis overlays the speed surfaces of two vehicles and classifies each polygon into one of four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Neither vehicle can cross. Absolute No Go for both.</w:t>
            </w:r>
          </w:p>
        </w:tc>
      </w:tr>
    </w:tbl>
    <w:p>
      <w:pPr>
        <w:spacing w:after="80" w:before="80"/>
      </w:pPr>
      <w:r>
        <w:t xml:space="preserve"/>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label (GO / SLOW GO / NO GO) for each vehicle.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 xml:space="preserve">Tip</w:t>
            </w:r>
          </w:p>
          <w:p>
            <w:pPr>
              <w:spacing w:after="0" w:before="0"/>
            </w:pPr>
            <w:r>
              <w:rPr>
                <w:rFonts w:ascii="Arial" w:cs="Arial" w:eastAsia="Arial" w:hAnsi="Arial"/>
                <w:sz w:val="22"/>
                <w:szCs w:val="22"/>
              </w:rPr>
              <w:t xml:space="preserve">Run Step 2 once per vehicle before running Vehicle Comparison. The comparison dropdown in Step 3 is populated from mobility_map_fc entries recorded in ccm_project.json.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6.4  Analysis D — Obstacle Detection</w:t>
      </w:r>
    </w:p>
    <w:p>
      <w:pPr>
        <w:spacing w:after="60" w:before="60"/>
      </w:pPr>
      <w:r>
        <w:rPr>
          <w:rFonts w:ascii="Arial" w:cs="Arial" w:eastAsia="Arial" w:hAnsi="Arial"/>
          <w:sz w:val="22"/>
          <w:szCs w:val="22"/>
        </w:rPr>
        <w:t xml:space="preserve">Obstacle Detection scans for micro-obstacles that are too small to appear in standard CCM polygon layers but large enough to stop or damage a vehicle. Three obstacle types are detected: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(always requires manual verification)</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Name of the input layer from which this obstacle was detected.</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crossings narrower than this are flagged as gaps.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6.5  Analysis E — Waypoint Route</w:t>
      </w:r>
    </w:p>
    <w:p>
      <w:pPr>
        <w:spacing w:after="60" w:before="60"/>
      </w:pPr>
      <w:r>
        <w:rPr>
          <w:rFonts w:ascii="Arial" w:cs="Arial" w:eastAsia="Arial" w:hAnsi="Arial"/>
          <w:sz w:val="22"/>
          <w:szCs w:val="22"/>
        </w:rPr>
        <w:t xml:space="preserve">Waypoint Route finds the time-optimal (fastest) route between a start point and an end point, respecting the terrain speed constraints computed in Step 2.</w:t>
      </w:r>
    </w:p>
    <w:p>
      <w:pPr>
        <w:spacing w:after="80" w:before="80"/>
      </w:pPr>
      <w:r>
        <w:t xml:space="preserve"/>
      </w:r>
    </w:p>
    <w:p>
      <w:pPr>
        <w:spacing w:after="60" w:before="60"/>
      </w:pPr>
      <w:r>
        <w:rPr>
          <w:rFonts w:ascii="Arial" w:cs="Arial" w:eastAsia="Arial" w:hAnsi="Arial"/>
          <w:sz w:val="22"/>
          <w:szCs w:val="22"/>
        </w:rPr>
        <w:t xml:space="preserve">If a start or end point falls in a No-Go zone, the tool automatically searches within a 500 m radius for the nearest passable location and snaps the point there before routing.</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Algorithm</w:t>
      </w:r>
    </w:p>
    <w:p>
      <w:pPr>
        <w:spacing w:after="60" w:before="60"/>
      </w:pPr>
      <w:r>
        <w:rPr>
          <w:rFonts w:ascii="Arial" w:cs="Arial" w:eastAsia="Arial" w:hAnsi="Arial"/>
          <w:sz w:val="22"/>
          <w:szCs w:val="22"/>
        </w:rPr>
        <w:t xml:space="preserve">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t xml:space="preserve"/>
      </w:r>
    </w:p>
    <w:p>
      <w:pPr>
        <w:pStyle w:val="Heading3"/>
        <w:spacing w:after="80" w:before="200"/>
      </w:pPr>
      <w:r>
        <w:rPr>
          <w:rFonts w:ascii="Arial" w:cs="Arial" w:eastAsia="Arial" w:hAnsi="Arial"/>
          <w:b/>
          <w:bCs/>
          <w:color w:val="1F3864"/>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distance (m and km), estimated travel time per vehicle, list of vehicles that can complete the route, and reasons any vehicle cannot complete it.</w:t>
            </w:r>
          </w:p>
        </w:tc>
      </w:tr>
    </w:tbl>
    <w:p>
      <w:pPr>
        <w:spacing w:after="80" w:before="80"/>
      </w:pPr>
      <w:r>
        <w:t xml:space="preserve"/>
      </w:r>
    </w:p>
    <w:p>
      <w:pPr>
        <w:pStyle w:val="Heading3"/>
        <w:spacing w:after="80" w:before="200"/>
      </w:pPr>
      <w:r>
        <w:rPr>
          <w:rFonts w:ascii="Arial" w:cs="Arial" w:eastAsia="Arial" w:hAnsi="Arial"/>
          <w:b/>
          <w:bCs/>
          <w:color w:val="1F3864"/>
          <w:sz w:val="24"/>
          <w:szCs w:val="24"/>
        </w:rPr>
        <w:t xml:space="preserve">Coordinate Entry for Start / End Points</w:t>
      </w:r>
    </w:p>
    <w:p>
      <w:pPr>
        <w:spacing w:after="60" w:before="60"/>
      </w:pPr>
      <w:r>
        <w:rPr>
          <w:rFonts w:ascii="Arial" w:cs="Arial" w:eastAsia="Arial" w:hAnsi="Arial"/>
          <w:sz w:val="22"/>
          <w:szCs w:val="22"/>
        </w:rPr>
        <w:t xml:space="preserve">All five coordinate formats are accepted. The tool auto-detects the format and converts to the project CRS: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Live Weather Integration</w:t>
      </w:r>
    </w:p>
    <w:p>
      <w:pPr>
        <w:spacing w:after="60" w:before="60"/>
      </w:pPr>
      <w:r>
        <w:rPr>
          <w:rFonts w:ascii="Arial" w:cs="Arial" w:eastAsia="Arial" w:hAnsi="Arial"/>
          <w:sz w:val="22"/>
          <w:szCs w:val="22"/>
        </w:rPr>
        <w:t xml:space="preserve">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Free fallback. No API key required. Used automatically if Living Atlas is unavailable or no nearby station is found.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7.2  Rainfall → RCI Adjustment Model</w:t>
      </w:r>
    </w:p>
    <w:p>
      <w:pPr>
        <w:spacing w:after="60" w:before="60"/>
      </w:pPr>
      <w:r>
        <w:rPr>
          <w:rFonts w:ascii="Arial" w:cs="Arial" w:eastAsia="Arial" w:hAnsi="Arial"/>
          <w:sz w:val="22"/>
          <w:szCs w:val="22"/>
        </w:rPr>
        <w:t xml:space="preserve">The rainfall penalty model follows NATO STANAG 4234 and US Army FM 5-170 trafficability guidelines. A multiplicative factor is applied to base RCI values: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heavy rain / storm</w:t>
            </w:r>
          </w:p>
        </w:tc>
      </w:tr>
    </w:tbl>
    <w:p>
      <w:pPr>
        <w:spacing w:after="80" w:before="80"/>
      </w:pPr>
      <w:r>
        <w:t xml:space="preserve"/>
      </w:r>
    </w:p>
    <w:p>
      <w:pPr>
        <w:spacing w:after="60" w:before="60"/>
      </w:pPr>
      <w:r>
        <w:rPr>
          <w:rFonts w:ascii="Arial" w:cs="Arial" w:eastAsia="Arial" w:hAnsi="Arial"/>
          <w:sz w:val="22"/>
          <w:szCs w:val="22"/>
        </w:rPr>
        <w:t xml:space="preserve">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 xml:space="preserve">7.3  Calibrating Soil Strength (soil_rci.csv)</w:t>
      </w:r>
    </w:p>
    <w:p>
      <w:pPr>
        <w:spacing w:after="80" w:before="80"/>
      </w:pPr>
      <w:r>
        <w:rPr>
          <w:rFonts w:ascii="Arial" w:cs="Arial" w:eastAsia="Arial" w:hAnsi="Arial"/>
          <w:sz w:val="22"/>
          <w:szCs w:val="22"/>
        </w:rPr>
        <w:t xml:space="preserve">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 xml:space="preserve">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 xml:space="preserve">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 xml:space="preserve">Example summary output (Geoprocessing Messages pane):</w:t>
      </w:r>
    </w:p>
    <w:p>
      <w:pPr>
        <w:spacing w:after="40" w:before="40"/>
        <w:ind w:left="720"/>
      </w:pPr>
      <w:r>
        <w:rPr>
          <w:rFonts w:ascii="Courier New" w:cs="Courier New" w:hAnsi="Courier New"/>
          <w:sz w:val="18"/>
          <w:szCs w:val="18"/>
          <w:color w:val="404040"/>
        </w:rPr>
        <w:t xml:space="preserve">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 xml:space="preserve">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 xml:space="preserve">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 xml:space="preserve">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 xml:space="preserve">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 xml:space="preserve">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 xml:space="preserve">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 xml:space="preserve">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Output Reference</w:t>
      </w:r>
    </w:p>
    <w:p>
      <w:pPr>
        <w:pStyle w:val="Heading2"/>
        <w:spacing w:after="100" w:before="280"/>
      </w:pPr>
      <w:r>
        <w:rPr>
          <w:rFonts w:ascii="Arial" w:cs="Arial" w:eastAsia="Arial" w:hAnsi="Arial"/>
          <w:b/>
          <w:bCs/>
          <w:color w:val="2E75B6"/>
          <w:sz w:val="28"/>
          <w:szCs w:val="28"/>
        </w:rPr>
        <w:t xml:space="preserve">8.1  Project Folder Structure</w:t>
      </w:r>
    </w:p>
    <w:p>
      <w:pPr>
        <w:spacing w:after="60" w:before="60"/>
      </w:pPr>
      <w:r>
        <w:rPr>
          <w:rFonts w:ascii="Arial" w:cs="Arial" w:eastAsia="Arial" w:hAnsi="Arial"/>
          <w:sz w:val="22"/>
          <w:szCs w:val="22"/>
        </w:rPr>
        <w:t xml:space="preserve">After running Steps 1 and 2, your project folder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Project configuration file. Human-readable JSON.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Applying Symbology</w:t>
      </w:r>
    </w:p>
    <w:p>
      <w:pPr>
        <w:spacing w:after="60" w:before="60"/>
      </w:pPr>
      <w:r>
        <w:rPr>
          <w:rFonts w:ascii="Arial" w:cs="Arial" w:eastAsia="Arial" w:hAnsi="Arial"/>
          <w:sz w:val="22"/>
          <w:szCs w:val="22"/>
        </w:rPr>
        <w:t xml:space="preserve">The tool ships with two ArcGIS layer files in the Symbology\ folder:</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 xml:space="preserve">Mobility_Symbology_Final.lyrx — Refined symbology with additional annotation support.</w:t>
      </w:r>
    </w:p>
    <w:p>
      <w:pPr>
        <w:spacing w:after="80" w:before="80"/>
      </w:pPr>
      <w:r>
        <w:t xml:space="preserve"/>
      </w:r>
    </w:p>
    <w:p>
      <w:pPr>
        <w:spacing w:after="60" w:before="60"/>
      </w:pPr>
      <w:r>
        <w:rPr>
          <w:rFonts w:ascii="Arial" w:cs="Arial" w:eastAsia="Arial" w:hAnsi="Arial"/>
          <w:sz w:val="22"/>
          <w:szCs w:val="22"/>
        </w:rPr>
        <w:t xml:space="preserve">To apply: In the Contents pane, right-click the speed surface layer → Symbology → Import symbology → select the .lyrx file → match on the Mobility field (values GO / RESTRICTED /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USCS Soil Classification Codes</w:t>
      </w:r>
    </w:p>
    <w:p>
      <w:pPr>
        <w:spacing w:after="60" w:before="60"/>
      </w:pPr>
      <w:r>
        <w:rPr>
          <w:rFonts w:ascii="Arial" w:cs="Arial" w:eastAsia="Arial" w:hAnsi="Arial"/>
          <w:sz w:val="22"/>
          <w:szCs w:val="22"/>
        </w:rPr>
        <w:t xml:space="preserve">The soilType field contains two-letter USCS (Unified Soil Classification System) codes. The CCM tool uses VCI (Vehicle Cone Index) values derived from these codes to compute soil trafficability.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(gap-filled default)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Troubleshooting</w:t>
      </w:r>
    </w:p>
    <w:p>
      <w:pPr>
        <w:pStyle w:val="Heading2"/>
        <w:spacing w:after="100" w:before="280"/>
      </w:pPr>
      <w:r>
        <w:rPr>
          <w:rFonts w:ascii="Arial" w:cs="Arial" w:eastAsia="Arial" w:hAnsi="Arial"/>
          <w:b/>
          <w:bCs/>
          <w:color w:val="2E75B6"/>
          <w:sz w:val="28"/>
          <w:szCs w:val="28"/>
        </w:rPr>
        <w:t xml:space="preserve">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CCM_Tool_v0.55.1.pyt.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Performance Tips</w:t>
      </w:r>
    </w:p>
    <w:p>
      <w:pPr>
        <w:pStyle w:val="ListParagraph"/>
        <w:numPr>
          <w:ilvl w:val="0"/>
          <w:numId w:val="2"/>
        </w:numPr>
        <w:spacing w:after="40" w:before="40"/>
      </w:pPr>
      <w:r>
        <w:rPr>
          <w:rFonts w:ascii="Arial" w:cs="Arial" w:eastAsia="Arial" w:hAnsi="Arial"/>
          <w:sz w:val="22"/>
          <w:szCs w:val="22"/>
        </w:rPr>
        <w:t xml:space="preserve">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 xml:space="preserve">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 xml:space="preserve">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 xml:space="preserve">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 xml:space="preserve">The project GDB can accumulate intermediate data over time. Delete unused layers from CCM_Project.gdb periodically to reclaim disk space.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9.3  Log Messages</w:t>
      </w:r>
    </w:p>
    <w:p>
      <w:pPr>
        <w:spacing w:after="60" w:before="60"/>
      </w:pPr>
      <w:r>
        <w:rPr>
          <w:rFonts w:ascii="Arial" w:cs="Arial" w:eastAsia="Arial" w:hAnsi="Arial"/>
          <w:sz w:val="22"/>
          <w:szCs w:val="22"/>
        </w:rPr>
        <w:t xml:space="preserve">All tool messages appear in the ArcGIS Pro Geoprocessing Messages pane. Messages are prefixed with the tool name for easy filtering: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Isochrone / reachability module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Technical Reference (GIS Analysts)</w:t>
      </w:r>
    </w:p>
    <w:p>
      <w:pPr>
        <w:pStyle w:val="Heading2"/>
        <w:spacing w:after="100" w:before="280"/>
      </w:pPr>
      <w:r>
        <w:rPr>
          <w:rFonts w:ascii="Arial" w:cs="Arial" w:eastAsia="Arial" w:hAnsi="Arial"/>
          <w:b/>
          <w:bCs/>
          <w:color w:val="2E75B6"/>
          <w:sz w:val="28"/>
          <w:szCs w:val="28"/>
        </w:rPr>
        <w:t xml:space="preserve">10.1  Module Architecture</w:t>
      </w:r>
    </w:p>
    <w:p>
      <w:pPr>
        <w:spacing w:after="60" w:before="60"/>
      </w:pPr>
      <w:r>
        <w:rPr>
          <w:rFonts w:ascii="Arial" w:cs="Arial" w:eastAsia="Arial" w:hAnsi="Arial"/>
          <w:sz w:val="22"/>
          <w:szCs w:val="22"/>
        </w:rPr>
        <w:t xml:space="preserve">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CCM_Tool_v0.55.1.pyt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Validates soilType field content; reports and corrects invalid USCS codes.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10.2  VCI → Soil Factor Derivation</w:t>
      </w:r>
    </w:p>
    <w:p>
      <w:pPr>
        <w:spacing w:after="60" w:before="60"/>
      </w:pPr>
      <w:r>
        <w:rPr>
          <w:rFonts w:ascii="Arial" w:cs="Arial" w:eastAsia="Arial" w:hAnsi="Arial"/>
          <w:sz w:val="22"/>
          <w:szCs w:val="22"/>
        </w:rPr>
        <w:t xml:space="preserve">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t xml:space="preserve"/>
      </w:r>
    </w:p>
    <w:p>
      <w:pPr>
        <w:spacing w:after="80" w:before="80"/>
        <w:jc w:val="center"/>
      </w:pPr>
      <w:r>
        <w:rPr>
          <w:rFonts w:ascii="Courier New" w:cs="Courier New" w:eastAsia="Courier New" w:hAnsi="Courier New"/>
          <w:color w:val="1F3864"/>
          <w:sz w:val="20"/>
          <w:szCs w:val="20"/>
        </w:rPr>
        <w:t xml:space="preserve">F_soil = 0 if RCI &lt; VCI_1;  F_soil = 1 if RCI ≥ VCI_50;  otherwise F_soil = (RCI − VCI_1) / (VCI_50 − VCI_1)</w:t>
      </w:r>
    </w:p>
    <w:p>
      <w:pPr>
        <w:spacing w:after="60" w:before="60"/>
      </w:pPr>
      <w:r>
        <w:rPr>
          <w:rFonts w:ascii="Arial" w:cs="Arial" w:eastAsia="Arial" w:hAnsi="Arial"/>
          <w:sz w:val="22"/>
          <w:szCs w:val="22"/>
        </w:rPr>
        <w:t xml:space="preserve">If RCI ≥ VCI_required, the soil is trafficable (F = 1.0). If RCI &lt; VCI_required, the factor is proportionally reduced. If RCI &lt; VCI_1 (single-pass requirement), F = 0 (No Go).</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Vegetation Factor Derivation</w:t>
      </w:r>
    </w:p>
    <w:p>
      <w:pPr>
        <w:spacing w:after="60" w:before="60"/>
      </w:pPr>
      <w:r>
        <w:rPr>
          <w:rFonts w:ascii="Arial" w:cs="Arial" w:eastAsia="Arial" w:hAnsi="Arial"/>
          <w:sz w:val="22"/>
          <w:szCs w:val="22"/>
        </w:rPr>
        <w:t xml:space="preserve">F2 is derived directly from the VTI (Vegetation Traffic Impact) value of each polygon: F2 = 1 − VTI. VTI = 0 means no impedance (open ground); VTI = 1 means impassable vegetation.</w:t>
      </w:r>
    </w:p>
    <w:p>
      <w:pPr>
        <w:spacing w:after="80" w:before="80"/>
      </w:pPr>
      <w:r>
        <w:t xml:space="preserve"/>
      </w:r>
    </w:p>
    <w:p>
      <w:pPr>
        <w:spacing w:after="60" w:before="60"/>
      </w:pPr>
      <w:r>
        <w:rPr>
          <w:rFonts w:ascii="Arial" w:cs="Arial" w:eastAsia="Arial" w:hAnsi="Arial"/>
          <w:sz w:val="22"/>
          <w:szCs w:val="22"/>
        </w:rPr>
        <w:t xml:space="preserve">F3 accounts for tree spacing and stem diameter relative to vehicle width. If treeSpacing ≤ vehicle_width or stemDiameter ≥ max_override_diameter, F3 is reduced or set to 0.</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200"/>
          </w:tcPr>
          <w:p>
            <w:r>
              <w:t>0.55.1</w:t>
            </w:r>
          </w:p>
        </w:tc>
        <w:tc>
          <w:tcPr>
            <w:tcW w:type="dxa" w:w="1400"/>
          </w:tcPr>
          <w:p>
            <w:r>
              <w:t>August 2026</w:t>
            </w:r>
          </w:p>
        </w:tc>
        <w:tc>
          <w:tcPr>
            <w:tcW w:type="dxa" w:w="6760"/>
          </w:tcPr>
          <w:p>
            <w:r>
              <w:t>Version-bump release. Added QUICK_START.html (a styled HTML rendering of QUICK_START.md, now packaged in the release zip) and CCM_anaconda_environment.bat (creates/verifies the dedicated Anaconda test environment on its own, as a companion setup step to RUN_LOCAL_VERIFICATION.bat; not packaged). No toolbox/geoprocessing logic changed. Preceded by a thorough scrub of v0.55.0 removing all remaining pre-rename organization/product-name references and verifying the exact copyright header project-wide. See CHANGELOG_v0.55.md.</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CHANGELOG_v0.55.md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 xml:space="preserve">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 xml:space="preserve">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 xml:space="preserve">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 xml:space="preserve">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 xml:space="preserve">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 xml:space="preserve">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 xml:space="preserve">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 xml:space="preserve">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 xml:space="preserve">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 xml:space="preserve">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public release. Full three-step workflow. Six soil sources, six vegetation sources. Five Step 3 analyses.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A — Supported Coordinate Formats</w:t>
      </w:r>
    </w:p>
    <w:p>
      <w:pPr>
        <w:spacing w:after="60" w:before="60"/>
      </w:pPr>
      <w:r>
        <w:rPr>
          <w:rFonts w:ascii="Arial" w:cs="Arial" w:eastAsia="Arial" w:hAnsi="Arial"/>
          <w:sz w:val="22"/>
          <w:szCs w:val="22"/>
        </w:rPr>
        <w:t xml:space="preserve">The tool accepts start and end point coordinates in any of the following formats. The format is auto-detected; no selection is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45.6466N 75.5957W
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18T 611234 5051234</w:t>
            </w:r>
          </w:p>
        </w:tc>
      </w:tr>
    </w:tbl>
    <w:p>
      <w:pPr>
        <w:spacing w:after="80" w:before="80"/>
      </w:pPr>
      <w:r>
        <w:t xml:space="preserve"/>
      </w:r>
    </w:p>
    <w:p>
      <w:pPr>
        <w:spacing w:after="60" w:before="60"/>
      </w:pPr>
      <w:r>
        <w:rPr>
          <w:rFonts w:ascii="Arial" w:cs="Arial" w:eastAsia="Arial" w:hAnsi="Arial"/>
          <w:sz w:val="22"/>
          <w:szCs w:val="22"/>
        </w:rPr>
        <w:t xml:space="preserve">The tool also displays coordinate equivalents in all formats in the “Coordinate Equivalents” read-only field immediately below the entry field, allowing operators to confirm their input before running.</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Appendix B — USCS Soil Classification Reference</w:t>
      </w:r>
    </w:p>
    <w:p>
      <w:pPr>
        <w:spacing w:after="60" w:before="60"/>
      </w:pPr>
      <w:r>
        <w:rPr>
          <w:rFonts w:ascii="Arial" w:cs="Arial" w:eastAsia="Arial" w:hAnsi="Arial"/>
          <w:sz w:val="22"/>
          <w:szCs w:val="22"/>
        </w:rPr>
        <w:t xml:space="preserve">The following table summarises all USCS codes used in the soilType field, their soil descriptions, typical RCI ranges, and general CCM applicability.</w:t>
      </w:r>
    </w:p>
    <w:p>
      <w:pPr>
        <w:spacing w:after="8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