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9B004D" w14:textId="77777777" w:rsidR="00D1019A" w:rsidRPr="007B3A09" w:rsidRDefault="00D1019A" w:rsidP="00D1019A">
      <w:pPr>
        <w:spacing w:after="120" w:line="240" w:lineRule="auto"/>
        <w:jc w:val="center"/>
        <w:rPr>
          <w:rFonts w:cs="Times New Roman"/>
          <w:sz w:val="28"/>
          <w:szCs w:val="28"/>
          <w:lang w:val="ru-RU"/>
        </w:rPr>
      </w:pPr>
      <w:r w:rsidRPr="007B3A09">
        <w:rPr>
          <w:rFonts w:cs="Times New Roman" w:ascii="Times New Roman" w:hAnsi="Times New Roman"/>
          <w:b w:val="0"/>
          <w:color w:val="000000"/>
          <w:sz w:val="28"/>
          <w:szCs w:val="28"/>
          <w:lang w:val="ru-RU"/>
        </w:rPr>
        <w:t>МИНОБРНАУКИ РОССИИ</w:t>
      </w:r>
    </w:p>
    <w:p w14:paraId="43677100" w14:textId="77777777" w:rsidR="00D1019A" w:rsidRPr="007B3A09" w:rsidRDefault="00D1019A" w:rsidP="00D1019A">
      <w:pPr>
        <w:pStyle w:val="ac"/>
        <w:spacing w:after="60" w:line="240" w:lineRule="auto"/>
        <w:jc w:val="center"/>
        <w:rPr>
          <w:sz w:val="28"/>
          <w:szCs w:val="28"/>
          <w:lang w:val="ru-RU"/>
        </w:rPr>
      </w:pPr>
      <w:r w:rsidRPr="007B3A09">
        <w:rPr>
          <w:rFonts w:ascii="Times New Roman" w:hAnsi="Times New Roman"/>
          <w:b w:val="0"/>
          <w:color w:val="000000"/>
          <w:sz w:val="28"/>
          <w:szCs w:val="28"/>
          <w:lang w:val="ru-RU"/>
        </w:rPr>
        <w:t>Федеральное государственное бюджетное образовательное</w:t>
      </w:r>
      <w:r w:rsidRPr="007B3A09">
        <w:rPr>
          <w:rFonts w:ascii="Times New Roman" w:hAnsi="Times New Roman"/>
          <w:b w:val="0"/>
          <w:color w:val="000000"/>
          <w:sz w:val="28"/>
          <w:szCs w:val="28"/>
          <w:lang w:val="ru-RU"/>
        </w:rPr>
        <w:br/>
        <w:t>учреждение высшего образования</w:t>
      </w:r>
    </w:p>
    <w:p w14:paraId="7266DD78" w14:textId="77777777" w:rsidR="00D1019A" w:rsidRPr="007B3A09" w:rsidRDefault="00D1019A" w:rsidP="00D1019A">
      <w:pPr>
        <w:spacing w:after="360" w:line="240" w:lineRule="auto"/>
        <w:ind w:left="1134" w:right="1134"/>
        <w:jc w:val="center"/>
        <w:rPr>
          <w:rFonts w:cs="Times New Roman"/>
          <w:sz w:val="28"/>
          <w:szCs w:val="28"/>
          <w:lang w:val="ru-RU"/>
        </w:rPr>
      </w:pPr>
      <w:r w:rsidRPr="007B3A09">
        <w:rPr>
          <w:rFonts w:cs="Times New Roman" w:ascii="Times New Roman" w:hAnsi="Times New Roman"/>
          <w:b w:val="0"/>
          <w:color w:val="000000"/>
          <w:sz w:val="28"/>
          <w:szCs w:val="28"/>
          <w:lang w:val="ru-RU"/>
        </w:rPr>
        <w:t>«Ижевский государственный технический университет имени М.Т. Калашникова»</w:t>
      </w:r>
    </w:p>
    <w:p w14:paraId="6F4B47F1" w14:textId="77777777" w:rsidR="00D1019A" w:rsidRPr="007B3A09" w:rsidRDefault="00D1019A" w:rsidP="00D1019A">
      <w:pPr>
        <w:shd w:val="clear" w:color="auto" w:fill="FCFCFC"/>
        <w:spacing w:after="1500" w:line="240" w:lineRule="auto"/>
        <w:jc w:val="center"/>
        <w:rPr>
          <w:rFonts w:eastAsia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b w:val="0"/>
          <w:color w:val="000000"/>
          <w:sz w:val="28"/>
        </w:rPr>
        <w:t>Кафедра «Программное обеспечение»</w:t>
      </w:r>
    </w:p>
    <w:p w14:paraId="3613D26D" w14:textId="77777777" w:rsidR="00D1019A" w:rsidRPr="007B3A09" w:rsidRDefault="00D1019A" w:rsidP="00D1019A">
      <w:pPr>
        <w:pStyle w:val="a3"/>
        <w:spacing w:after="0" w:line="240" w:lineRule="auto"/>
        <w:jc w:val="center"/>
        <w:rPr>
          <w:rFonts w:cs="Times New Roman"/>
          <w:b/>
          <w:caps/>
          <w:sz w:val="28"/>
          <w:szCs w:val="28"/>
          <w:lang w:val="ru-RU"/>
        </w:rPr>
      </w:pPr>
      <w:r>
        <w:rPr>
          <w:rFonts w:ascii="Times New Roman" w:hAnsi="Times New Roman"/>
          <w:b w:val="0"/>
          <w:color w:val="000000"/>
          <w:sz w:val="28"/>
        </w:rPr>
        <w:t>ОТЧЁТ</w:t>
      </w:r>
    </w:p>
    <w:p w14:paraId="317C6C66" w14:textId="77777777" w:rsidR="00D1019A" w:rsidRPr="007B3A09" w:rsidRDefault="00D1019A" w:rsidP="00D1019A">
      <w:pPr>
        <w:spacing w:after="0" w:line="240" w:lineRule="auto"/>
        <w:jc w:val="center"/>
        <w:rPr>
          <w:rFonts w:cs="Times New Roman"/>
          <w:b/>
          <w:sz w:val="28"/>
          <w:szCs w:val="28"/>
          <w:lang w:val="ru-RU"/>
        </w:rPr>
      </w:pPr>
      <w:r>
        <w:rPr>
          <w:rFonts w:ascii="Times New Roman" w:hAnsi="Times New Roman"/>
          <w:b w:val="0"/>
          <w:color w:val="000000"/>
          <w:sz w:val="28"/>
        </w:rPr>
        <w:t>по лабораторной работе № 1</w:t>
        <w:br/>
        <w:t>Дополнение к отчёту</w:t>
        <w:br/>
        <w:t>Концепция и спецификация проекта</w:t>
      </w:r>
    </w:p>
    <w:p w14:paraId="0D5765DE" w14:textId="77777777" w:rsidR="00D1019A" w:rsidRPr="007B3A09" w:rsidRDefault="00D1019A" w:rsidP="00D1019A">
      <w:pPr>
        <w:spacing w:after="700" w:line="240" w:lineRule="auto"/>
        <w:jc w:val="center"/>
        <w:rPr>
          <w:rFonts w:cs="Times New Roman"/>
          <w:b/>
          <w:sz w:val="28"/>
          <w:szCs w:val="28"/>
          <w:lang w:val="ru-RU"/>
        </w:rPr>
      </w:pPr>
      <w:r>
        <w:rPr>
          <w:rFonts w:ascii="Times New Roman" w:hAnsi="Times New Roman"/>
          <w:b w:val="0"/>
          <w:color w:val="000000"/>
          <w:sz w:val="28"/>
        </w:rPr>
        <w:t>по дисциплине</w:t>
        <w:br/>
        <w:t>«Проектирование и конструирование ПО»</w:t>
        <w:br/>
        <w:t>Проект «Fit Nutrition Supply»</w:t>
      </w:r>
    </w:p>
    <w:tbl>
      <w:tblPr>
        <w:tblStyle w:val="ae"/>
        <w:tblW w:w="0" w:type="auto"/>
        <w:tblInd w:w="8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59"/>
        <w:gridCol w:w="273"/>
        <w:gridCol w:w="2031"/>
        <w:gridCol w:w="272"/>
        <w:gridCol w:w="2504"/>
      </w:tblGrid>
      <w:tr w:rsidR="00D1019A" w14:paraId="154CF4BB" w14:textId="77777777" w:rsidTr="00B2624B">
        <w:tc>
          <w:tcPr>
            <w:tcW w:w="2959" w:type="dxa"/>
            <w:vMerge w:val="restart"/>
            <w:vAlign w:val="center"/>
          </w:tcPr>
          <w:p w14:paraId="6CEB9CD5" w14:textId="77777777" w:rsidR="00D1019A" w:rsidRDefault="00D1019A" w:rsidP="00B2624B">
            <w:pPr>
              <w:tabs>
                <w:tab w:val="left" w:pos="3960"/>
                <w:tab w:val="left" w:pos="5220"/>
              </w:tabs>
              <w:spacing w:line="240" w:lineRule="auto"/>
              <w:rPr>
                <w:rFonts w:cs="Times New Roman"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8"/>
                <w:szCs w:val="28"/>
              </w:rPr>
              <w:t>Выполнили</w:t>
            </w:r>
            <w:proofErr w:type="spellEnd"/>
          </w:p>
          <w:p w14:paraId="25EC9782" w14:textId="77777777" w:rsidR="00D1019A" w:rsidRDefault="00D1019A" w:rsidP="00B2624B">
            <w:pPr>
              <w:tabs>
                <w:tab w:val="left" w:pos="3960"/>
                <w:tab w:val="left" w:pos="5220"/>
              </w:tabs>
              <w:spacing w:line="240" w:lineRule="auto"/>
              <w:rPr>
                <w:rFonts w:cs="Times New Roman"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8"/>
                <w:szCs w:val="28"/>
              </w:rPr>
              <w:t>студенты</w:t>
            </w:r>
            <w:proofErr w:type="spellEnd"/>
            <w:r>
              <w:rPr>
                <w:rFonts w:cs="Times New Roman"/>
                <w:sz w:val="28"/>
                <w:szCs w:val="28"/>
              </w:rPr>
              <w:br/>
            </w:r>
            <w:proofErr w:type="spellStart"/>
            <w:r>
              <w:rPr>
                <w:rFonts w:cs="Times New Roman"/>
                <w:sz w:val="28"/>
                <w:szCs w:val="28"/>
              </w:rPr>
              <w:t>группы</w:t>
            </w:r>
            <w:proofErr w:type="spellEnd"/>
            <w:r>
              <w:rPr>
                <w:rFonts w:cs="Times New Roman"/>
                <w:sz w:val="28"/>
                <w:szCs w:val="28"/>
              </w:rPr>
              <w:t xml:space="preserve"> Б23-191-2:</w:t>
            </w:r>
          </w:p>
          <w:p w14:paraId="007D2116" w14:textId="77777777" w:rsidR="00D1019A" w:rsidRDefault="00D1019A" w:rsidP="00B2624B">
            <w:pPr>
              <w:tabs>
                <w:tab w:val="left" w:pos="3960"/>
                <w:tab w:val="left" w:pos="5220"/>
              </w:tabs>
              <w:spacing w:line="240" w:lineRule="auto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73" w:type="dxa"/>
          </w:tcPr>
          <w:p w14:paraId="5B6AE7B6" w14:textId="77777777" w:rsidR="00D1019A" w:rsidRDefault="00D1019A" w:rsidP="00B2624B">
            <w:pPr>
              <w:tabs>
                <w:tab w:val="left" w:pos="3960"/>
                <w:tab w:val="left" w:pos="5220"/>
              </w:tabs>
              <w:spacing w:line="24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031" w:type="dxa"/>
            <w:tcBorders>
              <w:bottom w:val="single" w:sz="4" w:space="0" w:color="auto"/>
            </w:tcBorders>
          </w:tcPr>
          <w:p w14:paraId="2F481D17" w14:textId="77777777" w:rsidR="00D1019A" w:rsidRDefault="00D1019A" w:rsidP="00B2624B">
            <w:pPr>
              <w:tabs>
                <w:tab w:val="left" w:pos="3960"/>
                <w:tab w:val="left" w:pos="5220"/>
              </w:tabs>
              <w:spacing w:line="24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72" w:type="dxa"/>
          </w:tcPr>
          <w:p w14:paraId="7C90D6D7" w14:textId="77777777" w:rsidR="00D1019A" w:rsidRDefault="00D1019A" w:rsidP="00B2624B">
            <w:pPr>
              <w:tabs>
                <w:tab w:val="left" w:pos="3960"/>
                <w:tab w:val="left" w:pos="5220"/>
              </w:tabs>
              <w:spacing w:line="24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504" w:type="dxa"/>
            <w:vAlign w:val="bottom"/>
          </w:tcPr>
          <w:p w14:paraId="5B8EEDFD" w14:textId="77777777" w:rsidR="00D1019A" w:rsidRDefault="00D1019A" w:rsidP="00B2624B">
            <w:pPr>
              <w:tabs>
                <w:tab w:val="left" w:pos="3960"/>
                <w:tab w:val="left" w:pos="5220"/>
              </w:tabs>
              <w:spacing w:line="240" w:lineRule="auto"/>
              <w:rPr>
                <w:rFonts w:cs="Times New Roman"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8"/>
                <w:szCs w:val="28"/>
                <w:lang w:val="ru-RU"/>
              </w:rPr>
              <w:t>Чипига</w:t>
            </w:r>
            <w:proofErr w:type="spellEnd"/>
            <w:r>
              <w:rPr>
                <w:rFonts w:cs="Times New Roman"/>
                <w:sz w:val="28"/>
                <w:szCs w:val="28"/>
              </w:rPr>
              <w:t xml:space="preserve"> </w:t>
            </w:r>
            <w:r>
              <w:rPr>
                <w:rFonts w:cs="Times New Roman"/>
                <w:sz w:val="28"/>
                <w:szCs w:val="28"/>
                <w:lang w:val="ru-RU"/>
              </w:rPr>
              <w:t>А</w:t>
            </w:r>
            <w:r>
              <w:rPr>
                <w:rFonts w:cs="Times New Roman"/>
                <w:sz w:val="28"/>
                <w:szCs w:val="28"/>
              </w:rPr>
              <w:t>. А.</w:t>
            </w:r>
          </w:p>
        </w:tc>
      </w:tr>
      <w:tr w:rsidR="00D1019A" w14:paraId="3D60C86C" w14:textId="77777777" w:rsidTr="00B2624B">
        <w:tc>
          <w:tcPr>
            <w:tcW w:w="2959" w:type="dxa"/>
            <w:vMerge/>
            <w:vAlign w:val="center"/>
          </w:tcPr>
          <w:p w14:paraId="44555A0A" w14:textId="77777777" w:rsidR="00D1019A" w:rsidRDefault="00D1019A" w:rsidP="00B2624B">
            <w:pPr>
              <w:tabs>
                <w:tab w:val="left" w:pos="3960"/>
                <w:tab w:val="left" w:pos="5220"/>
              </w:tabs>
              <w:spacing w:line="240" w:lineRule="auto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73" w:type="dxa"/>
          </w:tcPr>
          <w:p w14:paraId="196BFCA4" w14:textId="77777777" w:rsidR="00D1019A" w:rsidRDefault="00D1019A" w:rsidP="00B2624B">
            <w:pPr>
              <w:tabs>
                <w:tab w:val="left" w:pos="3960"/>
                <w:tab w:val="left" w:pos="5220"/>
              </w:tabs>
              <w:spacing w:line="24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031" w:type="dxa"/>
            <w:tcBorders>
              <w:top w:val="single" w:sz="4" w:space="0" w:color="auto"/>
            </w:tcBorders>
          </w:tcPr>
          <w:p w14:paraId="5EC7CC3C" w14:textId="77777777" w:rsidR="00D1019A" w:rsidRPr="006B55F5" w:rsidRDefault="00D1019A" w:rsidP="00B2624B">
            <w:pPr>
              <w:tabs>
                <w:tab w:val="left" w:pos="3960"/>
                <w:tab w:val="left" w:pos="5220"/>
              </w:tabs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>
              <w:rPr>
                <w:rFonts w:cs="Times New Roman"/>
                <w:sz w:val="20"/>
                <w:szCs w:val="20"/>
              </w:rPr>
              <w:t>подпись</w:t>
            </w:r>
            <w:proofErr w:type="spellEnd"/>
            <w:r>
              <w:rPr>
                <w:rFonts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cs="Times New Roman"/>
                <w:sz w:val="20"/>
                <w:szCs w:val="20"/>
              </w:rPr>
              <w:t>дата</w:t>
            </w:r>
            <w:proofErr w:type="spellEnd"/>
          </w:p>
        </w:tc>
        <w:tc>
          <w:tcPr>
            <w:tcW w:w="272" w:type="dxa"/>
          </w:tcPr>
          <w:p w14:paraId="31F2FD87" w14:textId="77777777" w:rsidR="00D1019A" w:rsidRDefault="00D1019A" w:rsidP="00B2624B">
            <w:pPr>
              <w:tabs>
                <w:tab w:val="left" w:pos="3960"/>
                <w:tab w:val="left" w:pos="5220"/>
              </w:tabs>
              <w:spacing w:line="24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504" w:type="dxa"/>
          </w:tcPr>
          <w:p w14:paraId="51F4F4D1" w14:textId="77777777" w:rsidR="00D1019A" w:rsidRDefault="00D1019A" w:rsidP="00B2624B">
            <w:pPr>
              <w:tabs>
                <w:tab w:val="left" w:pos="3960"/>
                <w:tab w:val="left" w:pos="5220"/>
              </w:tabs>
              <w:spacing w:line="24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</w:tr>
      <w:tr w:rsidR="00D1019A" w14:paraId="55F90340" w14:textId="77777777" w:rsidTr="00B2624B">
        <w:tc>
          <w:tcPr>
            <w:tcW w:w="2959" w:type="dxa"/>
            <w:vMerge/>
            <w:vAlign w:val="center"/>
          </w:tcPr>
          <w:p w14:paraId="44F5B08D" w14:textId="77777777" w:rsidR="00D1019A" w:rsidRDefault="00D1019A" w:rsidP="00B2624B">
            <w:pPr>
              <w:tabs>
                <w:tab w:val="left" w:pos="3960"/>
                <w:tab w:val="left" w:pos="5220"/>
              </w:tabs>
              <w:spacing w:line="240" w:lineRule="auto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73" w:type="dxa"/>
          </w:tcPr>
          <w:p w14:paraId="2082D87B" w14:textId="77777777" w:rsidR="00D1019A" w:rsidRDefault="00D1019A" w:rsidP="00B2624B">
            <w:pPr>
              <w:tabs>
                <w:tab w:val="left" w:pos="3960"/>
                <w:tab w:val="left" w:pos="5220"/>
              </w:tabs>
              <w:spacing w:line="24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031" w:type="dxa"/>
            <w:tcBorders>
              <w:bottom w:val="single" w:sz="4" w:space="0" w:color="auto"/>
            </w:tcBorders>
          </w:tcPr>
          <w:p w14:paraId="56B7B68E" w14:textId="77777777" w:rsidR="00D1019A" w:rsidRDefault="00D1019A" w:rsidP="00B2624B">
            <w:pPr>
              <w:tabs>
                <w:tab w:val="left" w:pos="3960"/>
                <w:tab w:val="left" w:pos="5220"/>
              </w:tabs>
              <w:spacing w:line="24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72" w:type="dxa"/>
          </w:tcPr>
          <w:p w14:paraId="60E3578D" w14:textId="77777777" w:rsidR="00D1019A" w:rsidRDefault="00D1019A" w:rsidP="00B2624B">
            <w:pPr>
              <w:tabs>
                <w:tab w:val="left" w:pos="3960"/>
                <w:tab w:val="left" w:pos="5220"/>
              </w:tabs>
              <w:spacing w:line="24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504" w:type="dxa"/>
          </w:tcPr>
          <w:p w14:paraId="0CA2A0A1" w14:textId="77777777" w:rsidR="00D1019A" w:rsidRDefault="00E50067" w:rsidP="00B2624B">
            <w:pPr>
              <w:tabs>
                <w:tab w:val="left" w:pos="3960"/>
                <w:tab w:val="left" w:pos="5220"/>
              </w:tabs>
              <w:spacing w:line="240" w:lineRule="auto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Фазлыев А</w:t>
            </w:r>
            <w:r w:rsidR="00D1019A">
              <w:rPr>
                <w:rFonts w:cs="Times New Roman"/>
                <w:sz w:val="28"/>
                <w:szCs w:val="28"/>
              </w:rPr>
              <w:t xml:space="preserve">. </w:t>
            </w:r>
            <w:r w:rsidR="00D1019A">
              <w:rPr>
                <w:rFonts w:cs="Times New Roman"/>
                <w:sz w:val="28"/>
                <w:szCs w:val="28"/>
                <w:lang w:val="ru-RU"/>
              </w:rPr>
              <w:t>А</w:t>
            </w:r>
            <w:r w:rsidR="00D1019A">
              <w:rPr>
                <w:rFonts w:cs="Times New Roman"/>
                <w:sz w:val="28"/>
                <w:szCs w:val="28"/>
              </w:rPr>
              <w:t>.</w:t>
            </w:r>
          </w:p>
        </w:tc>
      </w:tr>
      <w:tr w:rsidR="00D1019A" w14:paraId="7F37AADF" w14:textId="77777777" w:rsidTr="00B2624B">
        <w:tc>
          <w:tcPr>
            <w:tcW w:w="2959" w:type="dxa"/>
            <w:vMerge/>
            <w:vAlign w:val="center"/>
          </w:tcPr>
          <w:p w14:paraId="4CFE8205" w14:textId="77777777" w:rsidR="00D1019A" w:rsidRDefault="00D1019A" w:rsidP="00B2624B">
            <w:pPr>
              <w:tabs>
                <w:tab w:val="left" w:pos="3960"/>
                <w:tab w:val="left" w:pos="5220"/>
              </w:tabs>
              <w:spacing w:line="240" w:lineRule="auto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73" w:type="dxa"/>
          </w:tcPr>
          <w:p w14:paraId="5ACED680" w14:textId="77777777" w:rsidR="00D1019A" w:rsidRDefault="00D1019A" w:rsidP="00B2624B">
            <w:pPr>
              <w:tabs>
                <w:tab w:val="left" w:pos="3960"/>
                <w:tab w:val="left" w:pos="5220"/>
              </w:tabs>
              <w:spacing w:line="24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031" w:type="dxa"/>
            <w:tcBorders>
              <w:top w:val="single" w:sz="4" w:space="0" w:color="auto"/>
            </w:tcBorders>
          </w:tcPr>
          <w:p w14:paraId="4C07E0CA" w14:textId="77777777" w:rsidR="00D1019A" w:rsidRPr="006B55F5" w:rsidRDefault="00D1019A" w:rsidP="00B2624B">
            <w:pPr>
              <w:tabs>
                <w:tab w:val="left" w:pos="3960"/>
                <w:tab w:val="left" w:pos="5220"/>
              </w:tabs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>
              <w:rPr>
                <w:rFonts w:cs="Times New Roman"/>
                <w:sz w:val="20"/>
                <w:szCs w:val="20"/>
              </w:rPr>
              <w:t>подпись</w:t>
            </w:r>
            <w:proofErr w:type="spellEnd"/>
            <w:r>
              <w:rPr>
                <w:rFonts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cs="Times New Roman"/>
                <w:sz w:val="20"/>
                <w:szCs w:val="20"/>
              </w:rPr>
              <w:t>дата</w:t>
            </w:r>
            <w:proofErr w:type="spellEnd"/>
          </w:p>
        </w:tc>
        <w:tc>
          <w:tcPr>
            <w:tcW w:w="272" w:type="dxa"/>
          </w:tcPr>
          <w:p w14:paraId="65477BA0" w14:textId="77777777" w:rsidR="00D1019A" w:rsidRDefault="00D1019A" w:rsidP="00B2624B">
            <w:pPr>
              <w:tabs>
                <w:tab w:val="left" w:pos="3960"/>
                <w:tab w:val="left" w:pos="5220"/>
              </w:tabs>
              <w:spacing w:line="24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504" w:type="dxa"/>
          </w:tcPr>
          <w:p w14:paraId="025E8597" w14:textId="77777777" w:rsidR="00D1019A" w:rsidRDefault="00D1019A" w:rsidP="00B2624B">
            <w:pPr>
              <w:tabs>
                <w:tab w:val="left" w:pos="3960"/>
                <w:tab w:val="left" w:pos="5220"/>
              </w:tabs>
              <w:spacing w:line="24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</w:tr>
    </w:tbl>
    <w:p w14:paraId="15A335FC" w14:textId="77777777" w:rsidR="00D1019A" w:rsidRDefault="00D1019A" w:rsidP="00D1019A">
      <w:pPr>
        <w:tabs>
          <w:tab w:val="left" w:pos="3960"/>
          <w:tab w:val="left" w:pos="5220"/>
        </w:tabs>
        <w:spacing w:after="0" w:line="240" w:lineRule="auto"/>
        <w:jc w:val="center"/>
        <w:rPr>
          <w:rFonts w:cs="Times New Roman"/>
          <w:sz w:val="28"/>
          <w:szCs w:val="28"/>
        </w:rPr>
      </w:pPr>
      <w:r>
        <w:rPr>
          <w:rFonts w:ascii="Times New Roman" w:hAnsi="Times New Roman"/>
          <w:b w:val="0"/>
          <w:color w:val="000000"/>
          <w:sz w:val="28"/>
        </w:rPr>
      </w:r>
    </w:p>
    <w:tbl>
      <w:tblPr>
        <w:tblStyle w:val="ae"/>
        <w:tblW w:w="0" w:type="auto"/>
        <w:tblInd w:w="8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3"/>
        <w:gridCol w:w="281"/>
        <w:gridCol w:w="2201"/>
        <w:gridCol w:w="280"/>
        <w:gridCol w:w="2583"/>
      </w:tblGrid>
      <w:tr w:rsidR="00D1019A" w14:paraId="48E813A5" w14:textId="77777777" w:rsidTr="00B2624B">
        <w:tc>
          <w:tcPr>
            <w:tcW w:w="3260" w:type="dxa"/>
          </w:tcPr>
          <w:p>
            <w:r>
              <w:t>Проверил</w:t>
            </w:r>
          </w:p>
        </w:tc>
        <w:tc>
          <w:tcPr>
            <w:tcW w:w="284" w:type="dxa"/>
          </w:tcPr>
          <w:p w14:paraId="449D23B9" w14:textId="77777777" w:rsidR="00D1019A" w:rsidRDefault="00D1019A" w:rsidP="00B2624B">
            <w:pPr>
              <w:tabs>
                <w:tab w:val="left" w:pos="3960"/>
                <w:tab w:val="left" w:pos="5220"/>
              </w:tabs>
              <w:spacing w:line="24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5B704639" w14:textId="77777777" w:rsidR="00D1019A" w:rsidRDefault="00D1019A" w:rsidP="00B2624B">
            <w:pPr>
              <w:tabs>
                <w:tab w:val="left" w:pos="3960"/>
                <w:tab w:val="left" w:pos="5220"/>
              </w:tabs>
              <w:spacing w:line="24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7D42E6A0" w14:textId="77777777" w:rsidR="00D1019A" w:rsidRDefault="00D1019A" w:rsidP="00B2624B">
            <w:pPr>
              <w:tabs>
                <w:tab w:val="left" w:pos="3960"/>
                <w:tab w:val="left" w:pos="5220"/>
              </w:tabs>
              <w:spacing w:line="24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659" w:type="dxa"/>
            <w:vAlign w:val="bottom"/>
          </w:tcPr>
          <w:p>
            <w:r>
              <w:t>Еланцев М. О.</w:t>
            </w:r>
          </w:p>
        </w:tc>
      </w:tr>
      <w:tr w:rsidR="00D1019A" w14:paraId="34CD6099" w14:textId="77777777" w:rsidTr="00B2624B">
        <w:tc>
          <w:tcPr>
            <w:tcW w:w="3260" w:type="dxa"/>
          </w:tcPr>
          <w:p w14:paraId="0A466E6C" w14:textId="77777777" w:rsidR="00D1019A" w:rsidRDefault="00D1019A" w:rsidP="00B2624B">
            <w:pPr>
              <w:tabs>
                <w:tab w:val="left" w:pos="3960"/>
                <w:tab w:val="left" w:pos="5220"/>
              </w:tabs>
              <w:spacing w:line="24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84" w:type="dxa"/>
          </w:tcPr>
          <w:p w14:paraId="4B06D1AB" w14:textId="77777777" w:rsidR="00D1019A" w:rsidRDefault="00D1019A" w:rsidP="00B2624B">
            <w:pPr>
              <w:tabs>
                <w:tab w:val="left" w:pos="3960"/>
                <w:tab w:val="left" w:pos="5220"/>
              </w:tabs>
              <w:spacing w:line="24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5FA65BF2" w14:textId="77777777" w:rsidR="00D1019A" w:rsidRPr="006B55F5" w:rsidRDefault="00D1019A" w:rsidP="00B2624B">
            <w:pPr>
              <w:tabs>
                <w:tab w:val="left" w:pos="3960"/>
                <w:tab w:val="left" w:pos="5220"/>
              </w:tabs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>
              <w:rPr>
                <w:rFonts w:cs="Times New Roman"/>
                <w:sz w:val="20"/>
                <w:szCs w:val="20"/>
              </w:rPr>
              <w:t>подпись</w:t>
            </w:r>
            <w:proofErr w:type="spellEnd"/>
            <w:r>
              <w:rPr>
                <w:rFonts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cs="Times New Roman"/>
                <w:sz w:val="20"/>
                <w:szCs w:val="20"/>
              </w:rPr>
              <w:t>дата</w:t>
            </w:r>
            <w:proofErr w:type="spellEnd"/>
          </w:p>
        </w:tc>
        <w:tc>
          <w:tcPr>
            <w:tcW w:w="283" w:type="dxa"/>
          </w:tcPr>
          <w:p w14:paraId="0C22300E" w14:textId="77777777" w:rsidR="00D1019A" w:rsidRDefault="00D1019A" w:rsidP="00B2624B">
            <w:pPr>
              <w:tabs>
                <w:tab w:val="left" w:pos="3960"/>
                <w:tab w:val="left" w:pos="5220"/>
              </w:tabs>
              <w:spacing w:line="24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659" w:type="dxa"/>
          </w:tcPr>
          <w:p w14:paraId="169A3419" w14:textId="77777777" w:rsidR="00D1019A" w:rsidRDefault="00D1019A" w:rsidP="00B2624B">
            <w:pPr>
              <w:tabs>
                <w:tab w:val="left" w:pos="3960"/>
                <w:tab w:val="left" w:pos="5220"/>
              </w:tabs>
              <w:spacing w:line="24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</w:tr>
    </w:tbl>
    <w:p w14:paraId="45FFAC4B" w14:textId="77777777" w:rsidR="00D1019A" w:rsidRDefault="00D1019A" w:rsidP="00D1019A">
      <w:pPr>
        <w:tabs>
          <w:tab w:val="left" w:pos="0"/>
        </w:tabs>
        <w:spacing w:line="240" w:lineRule="auto"/>
        <w:jc w:val="center"/>
        <w:rPr>
          <w:rFonts w:cs="Times New Roman"/>
          <w:sz w:val="28"/>
          <w:szCs w:val="28"/>
          <w:lang w:val="ru-RU"/>
        </w:rPr>
      </w:pPr>
    </w:p>
    <w:p w14:paraId="7C81837F" w14:textId="77777777" w:rsidR="00F60646" w:rsidRDefault="00F60646" w:rsidP="00D1019A">
      <w:pPr>
        <w:tabs>
          <w:tab w:val="left" w:pos="0"/>
        </w:tabs>
        <w:spacing w:line="240" w:lineRule="auto"/>
        <w:jc w:val="center"/>
        <w:rPr>
          <w:rFonts w:cs="Times New Roman"/>
          <w:sz w:val="28"/>
          <w:szCs w:val="28"/>
          <w:lang w:val="ru-RU"/>
        </w:rPr>
      </w:pPr>
    </w:p>
    <w:p w14:paraId="0F9E9F91" w14:textId="77777777" w:rsidR="00F60646" w:rsidRDefault="00F60646" w:rsidP="00D1019A">
      <w:pPr>
        <w:tabs>
          <w:tab w:val="left" w:pos="0"/>
        </w:tabs>
        <w:spacing w:line="240" w:lineRule="auto"/>
        <w:jc w:val="center"/>
        <w:rPr>
          <w:rFonts w:cs="Times New Roman"/>
          <w:sz w:val="28"/>
          <w:szCs w:val="28"/>
          <w:lang w:val="ru-RU"/>
        </w:rPr>
      </w:pPr>
    </w:p>
    <w:p w14:paraId="535C3E0A" w14:textId="77777777" w:rsidR="00F60646" w:rsidRDefault="00F60646" w:rsidP="00D1019A">
      <w:pPr>
        <w:tabs>
          <w:tab w:val="left" w:pos="0"/>
        </w:tabs>
        <w:spacing w:line="240" w:lineRule="auto"/>
        <w:jc w:val="center"/>
        <w:rPr>
          <w:rFonts w:cs="Times New Roman"/>
          <w:sz w:val="28"/>
          <w:szCs w:val="28"/>
          <w:lang w:val="ru-RU"/>
        </w:rPr>
      </w:pPr>
    </w:p>
    <w:p w14:paraId="14C4E099" w14:textId="7EAAF8D6" w:rsidR="00D1019A" w:rsidRDefault="00D1019A" w:rsidP="00D1019A">
      <w:pPr>
        <w:tabs>
          <w:tab w:val="left" w:pos="0"/>
        </w:tabs>
        <w:spacing w:line="240" w:lineRule="auto"/>
        <w:jc w:val="center"/>
        <w:rPr>
          <w:rFonts w:cs="Times New Roman"/>
          <w:sz w:val="28"/>
          <w:szCs w:val="28"/>
          <w:lang w:val="ru-RU"/>
        </w:rPr>
      </w:pPr>
      <w:r>
        <w:rPr>
          <w:rFonts w:ascii="Times New Roman" w:hAnsi="Times New Roman"/>
          <w:b w:val="0"/>
          <w:color w:val="000000"/>
          <w:sz w:val="28"/>
        </w:rPr>
        <w:t>Ижевск, 2026</w:t>
      </w:r>
    </w:p>
    <w:p>
      <w:r>
        <w:br w:type="page"/>
      </w:r>
    </w:p>
    <w:p>
      <w:pPr>
        <w:pStyle w:val="1"/>
        <w:pageBreakBefore/>
      </w:pPr>
      <w:r>
        <w:t>1 Целевая аудитория и ограничения</w:t>
      </w:r>
    </w:p>
    <w:p>
      <w:pPr>
        <w:spacing w:line="360" w:lineRule="auto"/>
        <w:ind w:firstLine="709"/>
        <w:jc w:val="both"/>
      </w:pPr>
      <w:r>
        <w:t>Данное дополнение заменяет формулировку целевой аудитории в разделе 1.2, дополняет сравнение раздела 2.2 и уточняет NFR-05 раздела 3.3 сданного отчёта. Остальные требования сохраняют прежнюю нумерацию.</w:t>
      </w:r>
    </w:p>
    <w:p>
      <w:pPr>
        <w:spacing w:line="360" w:lineRule="auto"/>
        <w:ind w:firstLine="709"/>
        <w:jc w:val="both"/>
      </w:pPr>
      <w:r>
        <w:t>По замечаниям преподавателя уточнена основная аудитория Fit Nutrition Supply: взрослые люди, заинтересованные в снижении веса и готовящие самостоятельно. Им нужен понятный план из знакомых блюд, который связывает калорийность, время приготовления и стоимость закупки. Другие пользователи могут пользоваться продуктом, но не определяют основной сценарий.</w:t>
      </w:r>
    </w:p>
    <w:p>
      <w:pPr>
        <w:spacing w:line="360" w:lineRule="auto"/>
        <w:ind w:firstLine="709"/>
        <w:jc w:val="both"/>
      </w:pPr>
      <w:r>
        <w:t>Пример целевого пользователя: взрослый человек хочет снизить вес, готовит дома и хочет заранее планировать покупки. Он задаёт параметры, бюджет на неделю или месяц, доступное время готовки и исключаемые продукты. Сервис рассчитывает ориентир энергии, предлагает меню, формирует список и сравнивает полные корзины. Ижевск выбран для пилотного сравнения магазинов; возраст 18–40 лет и принадлежность к студентам больше не используются как определение ЦА.</w:t>
      </w:r>
    </w:p>
    <w:p>
      <w:pPr>
        <w:spacing w:line="360" w:lineRule="auto"/>
        <w:ind w:firstLine="709"/>
        <w:jc w:val="both"/>
      </w:pPr>
      <w:r>
        <w:t>Доступность основного сценария означает бесплатную базу, понятные формы с телефона и обычные продукты. Если бюджет невозможно соблюсти, показывается превышение, а не обещание гарантированной экономии. Если мало подходящих блюд, ограничения не снимаются автоматически. Медицинские назначения и лечебные диеты в проект не входят.</w:t>
      </w:r>
    </w:p>
    <w:p>
      <w:pPr>
        <w:spacing w:line="360" w:lineRule="auto"/>
        <w:ind w:firstLine="709"/>
        <w:jc w:val="both"/>
      </w:pPr>
      <w:r>
        <w:t>Для основной ЦА возраст в форме прототипа ограничен 18–100 годами. Это явное уточнение нижней границы FR-02 сданного отчёта, где было 14 лет. Семейные профили FR-04 сохраняются в дальнейшем плане, но не реализованы в первом прототипе.</w:t>
      </w:r>
    </w:p>
    <w:p>
      <w:pPr>
        <w:pStyle w:val="1"/>
        <w:pageBreakBefore/>
      </w:pPr>
      <w:r>
        <w:t>2 Сравнение с колонкой собственного продукта</w:t>
      </w:r>
    </w:p>
    <w:p>
      <w:pPr>
        <w:spacing w:line="360" w:lineRule="auto"/>
        <w:ind w:firstLine="709"/>
        <w:jc w:val="both"/>
      </w:pPr>
      <w:r>
        <w:t>Ниже сохранены десять характеристик сданного отчёта и добавлен Fit Nutrition Supply. Сравнение разделено на две части для читаемости. «НП» означает, что возможность не подтверждена источниками исходного обзора. Данные конкурентов перенесены из сданной ЛР1 и не выдаются за новое исследование их тарифов на 25.10.2026. Колонка нашего продукта описывает целевую концепцию; фактические ограничения прототипа указаны отдельно.</w:t>
      </w:r>
    </w:p>
    <w:p>
      <w:pPr>
        <w:keepNext/>
      </w:pPr>
      <w:r>
        <w:rPr>
          <w:rFonts w:ascii="Times New Roman" w:hAnsi="Times New Roman"/>
          <w:b w:val="0"/>
          <w:color w:val="000000"/>
          <w:sz w:val="24"/>
        </w:rPr>
        <w:t>Таблица 1</w:t>
      </w:r>
    </w:p>
    <w:tbl>
      <w:tblPr>
        <w:tblStyle w:val="ae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1757"/>
        <w:gridCol w:w="1757"/>
        <w:gridCol w:w="1757"/>
        <w:gridCol w:w="2098"/>
      </w:tblGrid>
      <w:tr>
        <w:trPr>
          <w:cantSplit/>
          <w:tblHeader/>
        </w:trPr>
        <w:tc>
          <w:tcPr>
            <w:tcW w:type="dxa" w:w="1984"/>
          </w:tcPr>
          <w:p>
            <w:pPr>
              <w:spacing w:line="252" w:lineRule="auto" w:after="60" w:before="6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Характеристика</w:t>
            </w:r>
          </w:p>
        </w:tc>
        <w:tc>
          <w:tcPr>
            <w:tcW w:type="dxa" w:w="1757"/>
          </w:tcPr>
          <w:p>
            <w:pPr>
              <w:spacing w:line="252" w:lineRule="auto" w:after="60" w:before="6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Eat This Much</w:t>
            </w:r>
          </w:p>
        </w:tc>
        <w:tc>
          <w:tcPr>
            <w:tcW w:type="dxa" w:w="1757"/>
          </w:tcPr>
          <w:p>
            <w:pPr>
              <w:spacing w:line="252" w:lineRule="auto" w:after="60" w:before="6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Samsung Food</w:t>
            </w:r>
          </w:p>
        </w:tc>
        <w:tc>
          <w:tcPr>
            <w:tcW w:type="dxa" w:w="1757"/>
          </w:tcPr>
          <w:p>
            <w:pPr>
              <w:spacing w:line="252" w:lineRule="auto" w:after="60" w:before="6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MyFitnessPal Meal Planner</w:t>
            </w:r>
          </w:p>
        </w:tc>
        <w:tc>
          <w:tcPr>
            <w:tcW w:type="dxa" w:w="2098"/>
          </w:tcPr>
          <w:p>
            <w:pPr>
              <w:spacing w:line="252" w:lineRule="auto" w:after="60" w:before="6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Fit Nutrition Supply, проект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Автоматическая генерация меню</w:t>
            </w:r>
          </w:p>
        </w:tc>
        <w:tc>
          <w:tcPr>
            <w:tcW w:type="dxa" w:w="1757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Да</w:t>
            </w:r>
          </w:p>
        </w:tc>
        <w:tc>
          <w:tcPr>
            <w:tcW w:type="dxa" w:w="1757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Да, Food+</w:t>
            </w:r>
          </w:p>
        </w:tc>
        <w:tc>
          <w:tcPr>
            <w:tcW w:type="dxa" w:w="1757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Да</w:t>
            </w:r>
          </w:p>
        </w:tc>
        <w:tc>
          <w:tcPr>
            <w:tcW w:type="dxa" w:w="2098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Да, подбор из каталога, FR-05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Горизонт плана</w:t>
            </w:r>
          </w:p>
        </w:tc>
        <w:tc>
          <w:tcPr>
            <w:tcW w:type="dxa" w:w="1757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1 день Free, 7 дней Premium</w:t>
            </w:r>
          </w:p>
        </w:tc>
        <w:tc>
          <w:tcPr>
            <w:tcW w:type="dxa" w:w="1757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Недельный план</w:t>
            </w:r>
          </w:p>
        </w:tc>
        <w:tc>
          <w:tcPr>
            <w:tcW w:type="dxa" w:w="1757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2–15 дней</w:t>
            </w:r>
          </w:p>
        </w:tc>
        <w:tc>
          <w:tcPr>
            <w:tcW w:type="dxa" w:w="2098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7–31 день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Аллергены и исключения</w:t>
            </w:r>
          </w:p>
        </w:tc>
        <w:tc>
          <w:tcPr>
            <w:tcW w:type="dxa" w:w="1757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Фильтры и блокировка ингредиентов</w:t>
            </w:r>
          </w:p>
        </w:tc>
        <w:tc>
          <w:tcPr>
            <w:tcW w:type="dxa" w:w="1757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18 аллергенов и нелюбимые продукты</w:t>
            </w:r>
          </w:p>
        </w:tc>
        <w:tc>
          <w:tcPr>
            <w:tcW w:type="dxa" w:w="1757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Аллергии и нелюбимые продукты</w:t>
            </w:r>
          </w:p>
        </w:tc>
        <w:tc>
          <w:tcPr>
            <w:tcW w:type="dxa" w:w="2098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14 меток и исключение ингредиентов, FR-03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Цель калорий и БЖУ</w:t>
            </w:r>
          </w:p>
        </w:tc>
        <w:tc>
          <w:tcPr>
            <w:tcW w:type="dxa" w:w="1757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Настройки и калькулятор</w:t>
            </w:r>
          </w:p>
        </w:tc>
        <w:tc>
          <w:tcPr>
            <w:tcW w:type="dxa" w:w="1757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Food+</w:t>
            </w:r>
          </w:p>
        </w:tc>
        <w:tc>
          <w:tcPr>
            <w:tcW w:type="dxa" w:w="1757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Персональная настройка</w:t>
            </w:r>
          </w:p>
        </w:tc>
        <w:tc>
          <w:tcPr>
            <w:tcW w:type="dxa" w:w="2098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Расчёт по параметрам и цели, FR-02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Список из меню</w:t>
            </w:r>
          </w:p>
        </w:tc>
        <w:tc>
          <w:tcPr>
            <w:tcW w:type="dxa" w:w="1757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Автоматический, Premium</w:t>
            </w:r>
          </w:p>
        </w:tc>
        <w:tc>
          <w:tcPr>
            <w:tcW w:type="dxa" w:w="1757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Да</w:t>
            </w:r>
          </w:p>
        </w:tc>
        <w:tc>
          <w:tcPr>
            <w:tcW w:type="dxa" w:w="1757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Да</w:t>
            </w:r>
          </w:p>
        </w:tc>
        <w:tc>
          <w:tcPr>
            <w:tcW w:type="dxa" w:w="2098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Общий список с категориями и запасами, FR-09–10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Учёт бюджета</w:t>
            </w:r>
          </w:p>
        </w:tc>
        <w:tc>
          <w:tcPr>
            <w:tcW w:type="dxa" w:w="1757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Да</w:t>
            </w:r>
          </w:p>
        </w:tc>
        <w:tc>
          <w:tcPr>
            <w:tcW w:type="dxa" w:w="1757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НП</w:t>
            </w:r>
          </w:p>
        </w:tc>
        <w:tc>
          <w:tcPr>
            <w:tcW w:type="dxa" w:w="1757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НП</w:t>
            </w:r>
          </w:p>
        </w:tc>
        <w:tc>
          <w:tcPr>
            <w:tcW w:type="dxa" w:w="2098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Прогноз и превышение лимита, FR-15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Сравнение цен в РФ</w:t>
            </w:r>
          </w:p>
        </w:tc>
        <w:tc>
          <w:tcPr>
            <w:tcW w:type="dxa" w:w="1757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Нет, рынок США</w:t>
            </w:r>
          </w:p>
        </w:tc>
        <w:tc>
          <w:tcPr>
            <w:tcW w:type="dxa" w:w="1757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НП</w:t>
            </w:r>
          </w:p>
        </w:tc>
        <w:tc>
          <w:tcPr>
            <w:tcW w:type="dxa" w:w="1757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Недоступен в РФ</w:t>
            </w:r>
          </w:p>
        </w:tc>
        <w:tc>
          <w:tcPr>
            <w:tcW w:type="dxa" w:w="2098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Пять сетей в целевой версии; в прототипе тестовые цены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Передача в доставку</w:t>
            </w:r>
          </w:p>
        </w:tc>
        <w:tc>
          <w:tcPr>
            <w:tcW w:type="dxa" w:w="1757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Интеграции в США</w:t>
            </w:r>
          </w:p>
        </w:tc>
        <w:tc>
          <w:tcPr>
            <w:tcW w:type="dxa" w:w="1757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В отдельных регионах</w:t>
            </w:r>
          </w:p>
        </w:tc>
        <w:tc>
          <w:tcPr>
            <w:tcW w:type="dxa" w:w="1757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Интеграции США/Канада</w:t>
            </w:r>
          </w:p>
        </w:tc>
        <w:tc>
          <w:tcPr>
            <w:tcW w:type="dxa" w:w="2098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Отложено, FR-20 Won't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Платформы</w:t>
            </w:r>
          </w:p>
        </w:tc>
        <w:tc>
          <w:tcPr>
            <w:tcW w:type="dxa" w:w="1757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Web, iOS, Android</w:t>
            </w:r>
          </w:p>
        </w:tc>
        <w:tc>
          <w:tcPr>
            <w:tcW w:type="dxa" w:w="1757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Web, iOS, Android</w:t>
            </w:r>
          </w:p>
        </w:tc>
        <w:tc>
          <w:tcPr>
            <w:tcW w:type="dxa" w:w="1757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iOS, Android</w:t>
            </w:r>
          </w:p>
        </w:tc>
        <w:tc>
          <w:tcPr>
            <w:tcW w:type="dxa" w:w="2098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Web с адаптивным интерфейсом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Полная версия по исходному обзору</w:t>
            </w:r>
          </w:p>
        </w:tc>
        <w:tc>
          <w:tcPr>
            <w:tcW w:type="dxa" w:w="1757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$14,99/мес или $59,99/год</w:t>
            </w:r>
          </w:p>
        </w:tc>
        <w:tc>
          <w:tcPr>
            <w:tcW w:type="dxa" w:w="1757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$6,99/мес или $59,99/год</w:t>
            </w:r>
          </w:p>
        </w:tc>
        <w:tc>
          <w:tcPr>
            <w:tcW w:type="dxa" w:w="1757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Premium+, цена НП</w:t>
            </w:r>
          </w:p>
        </w:tc>
        <w:tc>
          <w:tcPr>
            <w:tcW w:type="dxa" w:w="2098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Основной сценарий планируется бесплатным; тариф полной версии не установлен</w:t>
            </w:r>
          </w:p>
        </w:tc>
      </w:tr>
    </w:tbl>
    <w:p>
      <w:pPr>
        <w:spacing w:after="60"/>
      </w:pPr>
    </w:p>
    <w:p>
      <w:pPr>
        <w:keepNext/>
      </w:pPr>
      <w:r>
        <w:rPr>
          <w:rFonts w:ascii="Times New Roman" w:hAnsi="Times New Roman"/>
          <w:b w:val="0"/>
          <w:color w:val="000000"/>
          <w:sz w:val="24"/>
        </w:rPr>
        <w:t>Таблица 2</w:t>
      </w:r>
    </w:p>
    <w:tbl>
      <w:tblPr>
        <w:tblStyle w:val="ae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1757"/>
        <w:gridCol w:w="1757"/>
        <w:gridCol w:w="1757"/>
        <w:gridCol w:w="2098"/>
      </w:tblGrid>
      <w:tr>
        <w:trPr>
          <w:cantSplit/>
          <w:tblHeader/>
        </w:trPr>
        <w:tc>
          <w:tcPr>
            <w:tcW w:type="dxa" w:w="1984"/>
          </w:tcPr>
          <w:p>
            <w:pPr>
              <w:spacing w:line="252" w:lineRule="auto" w:after="60" w:before="6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Характеристика</w:t>
            </w:r>
          </w:p>
        </w:tc>
        <w:tc>
          <w:tcPr>
            <w:tcW w:type="dxa" w:w="1757"/>
          </w:tcPr>
          <w:p>
            <w:pPr>
              <w:spacing w:line="252" w:lineRule="auto" w:after="60" w:before="6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YAZIO</w:t>
            </w:r>
          </w:p>
        </w:tc>
        <w:tc>
          <w:tcPr>
            <w:tcW w:type="dxa" w:w="1757"/>
          </w:tcPr>
          <w:p>
            <w:pPr>
              <w:spacing w:line="252" w:lineRule="auto" w:after="60" w:before="6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«Тарелка», меню с ИИ</w:t>
            </w:r>
          </w:p>
        </w:tc>
        <w:tc>
          <w:tcPr>
            <w:tcW w:type="dxa" w:w="1757"/>
          </w:tcPr>
          <w:p>
            <w:pPr>
              <w:spacing w:line="252" w:lineRule="auto" w:after="60" w:before="6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Едадил</w:t>
            </w:r>
          </w:p>
        </w:tc>
        <w:tc>
          <w:tcPr>
            <w:tcW w:type="dxa" w:w="2098"/>
          </w:tcPr>
          <w:p>
            <w:pPr>
              <w:spacing w:line="252" w:lineRule="auto" w:after="60" w:before="6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Fit Nutrition Supply, проект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Автоматическая генерация меню</w:t>
            </w:r>
          </w:p>
        </w:tc>
        <w:tc>
          <w:tcPr>
            <w:tcW w:type="dxa" w:w="1757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Планы PRO</w:t>
            </w:r>
          </w:p>
        </w:tc>
        <w:tc>
          <w:tcPr>
            <w:tcW w:type="dxa" w:w="1757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Да</w:t>
            </w:r>
          </w:p>
        </w:tc>
        <w:tc>
          <w:tcPr>
            <w:tcW w:type="dxa" w:w="1757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Нет</w:t>
            </w:r>
          </w:p>
        </w:tc>
        <w:tc>
          <w:tcPr>
            <w:tcW w:type="dxa" w:w="2098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Да, подбор из каталога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Горизонт плана</w:t>
            </w:r>
          </w:p>
        </w:tc>
        <w:tc>
          <w:tcPr>
            <w:tcW w:type="dxa" w:w="1757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НП</w:t>
            </w:r>
          </w:p>
        </w:tc>
        <w:tc>
          <w:tcPr>
            <w:tcW w:type="dxa" w:w="1757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7 дней</w:t>
            </w:r>
          </w:p>
        </w:tc>
        <w:tc>
          <w:tcPr>
            <w:tcW w:type="dxa" w:w="1757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Не применимо</w:t>
            </w:r>
          </w:p>
        </w:tc>
        <w:tc>
          <w:tcPr>
            <w:tcW w:type="dxa" w:w="2098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7–31 день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Аллергены и исключения</w:t>
            </w:r>
          </w:p>
        </w:tc>
        <w:tc>
          <w:tcPr>
            <w:tcW w:type="dxa" w:w="1757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Диетические фильтры</w:t>
            </w:r>
          </w:p>
        </w:tc>
        <w:tc>
          <w:tcPr>
            <w:tcW w:type="dxa" w:w="1757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НП</w:t>
            </w:r>
          </w:p>
        </w:tc>
        <w:tc>
          <w:tcPr>
            <w:tcW w:type="dxa" w:w="1757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Не применимо</w:t>
            </w:r>
          </w:p>
        </w:tc>
        <w:tc>
          <w:tcPr>
            <w:tcW w:type="dxa" w:w="2098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14 меток и исключаемые ингредиенты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Цель калорий и БЖУ</w:t>
            </w:r>
          </w:p>
        </w:tc>
        <w:tc>
          <w:tcPr>
            <w:tcW w:type="dxa" w:w="1757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Настраиваемая</w:t>
            </w:r>
          </w:p>
        </w:tc>
        <w:tc>
          <w:tcPr>
            <w:tcW w:type="dxa" w:w="1757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Необязательный лимит калорий</w:t>
            </w:r>
          </w:p>
        </w:tc>
        <w:tc>
          <w:tcPr>
            <w:tcW w:type="dxa" w:w="1757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Не применимо</w:t>
            </w:r>
          </w:p>
        </w:tc>
        <w:tc>
          <w:tcPr>
            <w:tcW w:type="dxa" w:w="2098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Расчёт по параметрам и цели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Список из меню</w:t>
            </w:r>
          </w:p>
        </w:tc>
        <w:tc>
          <w:tcPr>
            <w:tcW w:type="dxa" w:w="1757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Да</w:t>
            </w:r>
          </w:p>
        </w:tc>
        <w:tc>
          <w:tcPr>
            <w:tcW w:type="dxa" w:w="1757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Да</w:t>
            </w:r>
          </w:p>
        </w:tc>
        <w:tc>
          <w:tcPr>
            <w:tcW w:type="dxa" w:w="1757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Ручной список</w:t>
            </w:r>
          </w:p>
        </w:tc>
        <w:tc>
          <w:tcPr>
            <w:tcW w:type="dxa" w:w="2098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Автоматический общий список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Учёт бюджета</w:t>
            </w:r>
          </w:p>
        </w:tc>
        <w:tc>
          <w:tcPr>
            <w:tcW w:type="dxa" w:w="1757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НП</w:t>
            </w:r>
          </w:p>
        </w:tc>
        <w:tc>
          <w:tcPr>
            <w:tcW w:type="dxa" w:w="1757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НП</w:t>
            </w:r>
          </w:p>
        </w:tc>
        <w:tc>
          <w:tcPr>
            <w:tcW w:type="dxa" w:w="1757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Не применимо</w:t>
            </w:r>
          </w:p>
        </w:tc>
        <w:tc>
          <w:tcPr>
            <w:tcW w:type="dxa" w:w="2098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Проверка полной суммы закупки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Сравнение цен в РФ</w:t>
            </w:r>
          </w:p>
        </w:tc>
        <w:tc>
          <w:tcPr>
            <w:tcW w:type="dxa" w:w="1757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НП</w:t>
            </w:r>
          </w:p>
        </w:tc>
        <w:tc>
          <w:tcPr>
            <w:tcW w:type="dxa" w:w="1757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НП</w:t>
            </w:r>
          </w:p>
        </w:tc>
        <w:tc>
          <w:tcPr>
            <w:tcW w:type="dxa" w:w="1757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Да</w:t>
            </w:r>
          </w:p>
        </w:tc>
        <w:tc>
          <w:tcPr>
            <w:tcW w:type="dxa" w:w="2098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Целевые пять сетей; учебные данные в прототипе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Передача в доставку</w:t>
            </w:r>
          </w:p>
        </w:tc>
        <w:tc>
          <w:tcPr>
            <w:tcW w:type="dxa" w:w="1757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НП</w:t>
            </w:r>
          </w:p>
        </w:tc>
        <w:tc>
          <w:tcPr>
            <w:tcW w:type="dxa" w:w="1757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НП</w:t>
            </w:r>
          </w:p>
        </w:tc>
        <w:tc>
          <w:tcPr>
            <w:tcW w:type="dxa" w:w="1757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Кешбэк за онлайн-покупки</w:t>
            </w:r>
          </w:p>
        </w:tc>
        <w:tc>
          <w:tcPr>
            <w:tcW w:type="dxa" w:w="2098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Отложено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Платформы</w:t>
            </w:r>
          </w:p>
        </w:tc>
        <w:tc>
          <w:tcPr>
            <w:tcW w:type="dxa" w:w="1757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iOS, Android</w:t>
            </w:r>
          </w:p>
        </w:tc>
        <w:tc>
          <w:tcPr>
            <w:tcW w:type="dxa" w:w="1757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iOS</w:t>
            </w:r>
          </w:p>
        </w:tc>
        <w:tc>
          <w:tcPr>
            <w:tcW w:type="dxa" w:w="1757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Web, iOS, Android</w:t>
            </w:r>
          </w:p>
        </w:tc>
        <w:tc>
          <w:tcPr>
            <w:tcW w:type="dxa" w:w="2098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Web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Полная версия по исходному обзору</w:t>
            </w:r>
          </w:p>
        </w:tc>
        <w:tc>
          <w:tcPr>
            <w:tcW w:type="dxa" w:w="1757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2250 ₽/год</w:t>
            </w:r>
          </w:p>
        </w:tc>
        <w:tc>
          <w:tcPr>
            <w:tcW w:type="dxa" w:w="1757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349 ₽/мес или 999 ₽/год</w:t>
            </w:r>
          </w:p>
        </w:tc>
        <w:tc>
          <w:tcPr>
            <w:tcW w:type="dxa" w:w="1757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Бесплатно</w:t>
            </w:r>
          </w:p>
        </w:tc>
        <w:tc>
          <w:tcPr>
            <w:tcW w:type="dxa" w:w="2098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Основной сценарий планируется бесплатным</w:t>
            </w:r>
          </w:p>
        </w:tc>
      </w:tr>
    </w:tbl>
    <w:p>
      <w:pPr>
        <w:spacing w:after="60"/>
      </w:pPr>
    </w:p>
    <w:p>
      <w:pPr>
        <w:spacing w:line="360" w:lineRule="auto"/>
        <w:ind w:firstLine="709"/>
        <w:jc w:val="both"/>
      </w:pPr>
      <w:r>
        <w:t>Практическое отличие проекта - связанный пересчёт меню, суммарных ингредиентов, целых упаковок и полной стоимости. Это проверяемая гипотеза ценности для выбранной ЦА, а не доказанное отсутствие конкурентов на всём рынке. В текущем прототипе сравнение работает на учебном наборе; возможность реального получения цен должна быть проверена отдельно.</w:t>
      </w:r>
    </w:p>
    <w:p>
      <w:pPr>
        <w:pStyle w:val="1"/>
        <w:pageBreakBefore/>
      </w:pPr>
      <w:r>
        <w:t>3 Уточнённое NFR-05</w:t>
      </w:r>
    </w:p>
    <w:p>
      <w:pPr>
        <w:spacing w:line="360" w:lineRule="auto"/>
        <w:ind w:firstLine="709"/>
        <w:jc w:val="both"/>
      </w:pPr>
      <w:r>
        <w:t>Новая формулировка: основные экраны настроек, меню, списка и корзины должны работать без горизонтальной прокрутки страницы на ширинах 360, 768 и 1920 CSS px в Google Chrome 155.0.8059.85 на Windows, Mozilla Firefox 158.0 на Windows и Safari 26.0 на macOS.</w:t>
      </w:r>
    </w:p>
    <w:p>
      <w:pPr>
        <w:spacing w:line="360" w:lineRule="auto"/>
        <w:ind w:firstLine="709"/>
        <w:jc w:val="both"/>
      </w:pPr>
      <w:r>
        <w:t>Критерий приёмки: выполнить основной сценарий и замену блюда, проверить доступность кнопок и полей, отсутствие наложения текста и горизонтальной прокрутки страницы; занести версию ОС, браузера, ширину и результат в протокол. Эти версии фиксируются для приёмки данной итерации, а не обозначаются как «самые последние».</w:t>
      </w:r>
    </w:p>
    <w:p>
      <w:pPr>
        <w:spacing w:line="360" w:lineRule="auto"/>
        <w:ind w:firstLine="709"/>
        <w:jc w:val="both"/>
      </w:pPr>
      <w:r>
        <w:t>Выполненная часть проверки прототипа: Google Chrome 155.0.8059.85, четыре основных экрана на трёх ширинах. Firefox и Safari пока не проверены. Уменьшение окна на Windows не подтверждает работу на физическом iPhone или Android.</w:t>
      </w:r>
    </w:p>
    <w:p>
      <w:pPr>
        <w:pStyle w:val="1"/>
        <w:pageBreakBefore/>
      </w:pPr>
      <w:r>
        <w:t>4 Связь с ЛР2</w:t>
      </w:r>
    </w:p>
    <w:p>
      <w:pPr>
        <w:spacing w:line="360" w:lineRule="auto"/>
        <w:ind w:firstLine="709"/>
        <w:jc w:val="both"/>
      </w:pPr>
      <w:r>
        <w:t>Сданный PDF и исходная презентация сохранены в sources/submitted-lab1. Уточнение ЦА и версий браузеров оформлено отдельно, чтобы исходные материалы не были незаметно заменены. Полная архитектура, диаграммы, ADR, покрытие требований и ограничения реализации находятся в отчёте ЛР2. Функции FR-20 и FR-21 по-прежнему исключены из текущей версии.</w:t>
      </w:r>
    </w:p>
    <w:sectPr w:rsidR="00FD485F" w:rsidSect="00D1019A">
      <w:footerReference w:type="default" r:id="rId9"/>
      <w:footerReference w:type="first" r:id="rId10"/>
      <w:pgSz w:w="11906" w:h="16838"/>
      <w:pgMar w:top="1134" w:right="850" w:bottom="1134" w:left="1701" w:header="708" w:footer="567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b w:val="0"/>
        <w:color w:val="000000"/>
        <w:sz w:val="24"/>
      </w:rPr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090D35"/>
    <w:multiLevelType w:val="hybridMultilevel"/>
    <w:tmpl w:val="BEA433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7ACB"/>
    <w:rsid w:val="0003248F"/>
    <w:rsid w:val="00032DE9"/>
    <w:rsid w:val="000C056C"/>
    <w:rsid w:val="00185232"/>
    <w:rsid w:val="00196B59"/>
    <w:rsid w:val="002427BA"/>
    <w:rsid w:val="002A1866"/>
    <w:rsid w:val="002F5B17"/>
    <w:rsid w:val="003B0582"/>
    <w:rsid w:val="003F7FE8"/>
    <w:rsid w:val="004007D5"/>
    <w:rsid w:val="004269E3"/>
    <w:rsid w:val="00464030"/>
    <w:rsid w:val="004A14C1"/>
    <w:rsid w:val="004C4114"/>
    <w:rsid w:val="004C7E34"/>
    <w:rsid w:val="00582F29"/>
    <w:rsid w:val="005E1952"/>
    <w:rsid w:val="006B7ACB"/>
    <w:rsid w:val="006D2F1F"/>
    <w:rsid w:val="00793CCC"/>
    <w:rsid w:val="00857C8C"/>
    <w:rsid w:val="00870C29"/>
    <w:rsid w:val="00874B54"/>
    <w:rsid w:val="009165A6"/>
    <w:rsid w:val="00A66730"/>
    <w:rsid w:val="00B004C4"/>
    <w:rsid w:val="00B13F8A"/>
    <w:rsid w:val="00B316CD"/>
    <w:rsid w:val="00BD502D"/>
    <w:rsid w:val="00BE0DC2"/>
    <w:rsid w:val="00BF5261"/>
    <w:rsid w:val="00CD3F9B"/>
    <w:rsid w:val="00D1019A"/>
    <w:rsid w:val="00D25ACF"/>
    <w:rsid w:val="00D729E3"/>
    <w:rsid w:val="00E13213"/>
    <w:rsid w:val="00E50067"/>
    <w:rsid w:val="00E96281"/>
    <w:rsid w:val="00EC2220"/>
    <w:rsid w:val="00EF6755"/>
    <w:rsid w:val="00F308D7"/>
    <w:rsid w:val="00F405B0"/>
    <w:rsid w:val="00F60646"/>
    <w:rsid w:val="00F61E4D"/>
    <w:rsid w:val="00FD2C9C"/>
    <w:rsid w:val="00FD4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31D1A9"/>
  <w15:chartTrackingRefBased/>
  <w15:docId w15:val="{38DCE10A-04C2-4CAC-B798-6EBE955B2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019A"/>
    <w:pPr>
      <w:widowControl/>
      <w:spacing w:after="0" w:line="360" w:lineRule="auto" w:before="0"/>
    </w:pPr>
    <w:rPr>
      <w:rFonts w:ascii="Times New Roman" w:eastAsiaTheme="minorEastAsia" w:hAnsi="Times New Roman"/>
      <w:color w:val="000000"/>
      <w:kern w:val="0"/>
      <w:sz w:val="28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4C7E34"/>
    <w:pPr>
      <w:keepNext/>
      <w:keepLines/>
      <w:spacing w:before="200" w:after="120" w:line="360" w:lineRule="auto"/>
      <w:jc w:val="center"/>
      <w:outlineLvl w:val="0"/>
    </w:pPr>
    <w:rPr>
      <w:rFonts w:eastAsiaTheme="majorEastAsia" w:cstheme="majorBidi" w:ascii="Times New Roman" w:hAnsi="Times New Roman"/>
      <w:b/>
      <w:bCs/>
      <w:caps/>
      <w:color w:val="000000"/>
      <w:kern w:val="2"/>
      <w:sz w:val="28"/>
      <w:szCs w:val="28"/>
      <w:lang w:val="ru-RU"/>
      <w14:ligatures w14:val="standardContextual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D729E3"/>
    <w:pPr>
      <w:keepNext/>
      <w:keepLines/>
      <w:spacing w:before="200" w:after="120" w:line="360" w:lineRule="auto"/>
      <w:outlineLvl w:val="1"/>
    </w:pPr>
    <w:rPr>
      <w:rFonts w:eastAsiaTheme="majorEastAsia" w:cstheme="majorBidi" w:ascii="Times New Roman" w:hAnsi="Times New Roman"/>
      <w:b/>
      <w:bCs/>
      <w:color w:val="000000"/>
      <w:kern w:val="2"/>
      <w:sz w:val="28"/>
      <w:szCs w:val="26"/>
      <w:lang w:val="ru-RU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7ACB"/>
    <w:pPr>
      <w:keepNext/>
      <w:keepLines/>
      <w:spacing w:before="200" w:after="120" w:line="360" w:lineRule="auto"/>
      <w:outlineLvl w:val="2"/>
    </w:pPr>
    <w:rPr>
      <w:rFonts w:asciiTheme="minorHAnsi" w:eastAsiaTheme="majorEastAsia" w:hAnsiTheme="minorHAnsi" w:cstheme="majorBidi" w:ascii="Times New Roman" w:hAnsi="Times New Roman"/>
      <w:b/>
      <w:color w:val="000000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7ACB"/>
    <w:pPr>
      <w:keepNext/>
      <w:keepLines/>
      <w:spacing w:before="80" w:after="40" w:line="360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7ACB"/>
    <w:pPr>
      <w:keepNext/>
      <w:keepLines/>
      <w:spacing w:before="80" w:after="40" w:line="360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7ACB"/>
    <w:pPr>
      <w:keepNext/>
      <w:keepLines/>
      <w:spacing w:before="40" w:after="0" w:line="36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7ACB"/>
    <w:pPr>
      <w:keepNext/>
      <w:keepLines/>
      <w:spacing w:before="40" w:after="0" w:line="36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8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7ACB"/>
    <w:pPr>
      <w:keepNext/>
      <w:keepLines/>
      <w:spacing w:after="0" w:line="36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7ACB"/>
    <w:pPr>
      <w:keepNext/>
      <w:keepLines/>
      <w:spacing w:after="0" w:line="36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7E34"/>
    <w:rPr>
      <w:rFonts w:ascii="Times New Roman" w:eastAsiaTheme="majorEastAsia" w:hAnsi="Times New Roman" w:cstheme="majorBidi"/>
      <w:b/>
      <w:bCs/>
      <w:cap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D729E3"/>
    <w:rPr>
      <w:rFonts w:ascii="Times New Roman" w:eastAsiaTheme="majorEastAsia" w:hAnsi="Times New Roman" w:cstheme="majorBidi"/>
      <w:b/>
      <w:bCs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6B7ACB"/>
    <w:rPr>
      <w:rFonts w:eastAsiaTheme="majorEastAsia" w:cstheme="majorBidi"/>
      <w:color w:val="0F4761" w:themeColor="accent1" w:themeShade="BF"/>
      <w:kern w:val="0"/>
      <w:sz w:val="28"/>
      <w:szCs w:val="28"/>
      <w:lang w:val="en-US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6B7ACB"/>
    <w:rPr>
      <w:rFonts w:eastAsiaTheme="majorEastAsia" w:cstheme="majorBidi"/>
      <w:i/>
      <w:iCs/>
      <w:color w:val="0F4761" w:themeColor="accent1" w:themeShade="BF"/>
      <w:kern w:val="0"/>
      <w:sz w:val="28"/>
      <w:szCs w:val="22"/>
      <w:lang w:val="en-US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6B7ACB"/>
    <w:rPr>
      <w:rFonts w:eastAsiaTheme="majorEastAsia" w:cstheme="majorBidi"/>
      <w:color w:val="0F4761" w:themeColor="accent1" w:themeShade="BF"/>
      <w:kern w:val="0"/>
      <w:sz w:val="28"/>
      <w:szCs w:val="22"/>
      <w:lang w:val="en-US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6B7ACB"/>
    <w:rPr>
      <w:rFonts w:eastAsiaTheme="majorEastAsia" w:cstheme="majorBidi"/>
      <w:i/>
      <w:iCs/>
      <w:color w:val="595959" w:themeColor="text1" w:themeTint="A6"/>
      <w:kern w:val="0"/>
      <w:sz w:val="28"/>
      <w:szCs w:val="22"/>
      <w:lang w:val="en-US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6B7ACB"/>
    <w:rPr>
      <w:rFonts w:eastAsiaTheme="majorEastAsia" w:cstheme="majorBidi"/>
      <w:color w:val="595959" w:themeColor="text1" w:themeTint="A6"/>
      <w:kern w:val="0"/>
      <w:sz w:val="28"/>
      <w:szCs w:val="22"/>
      <w:lang w:val="en-US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6B7ACB"/>
    <w:rPr>
      <w:rFonts w:eastAsiaTheme="majorEastAsia" w:cstheme="majorBidi"/>
      <w:i/>
      <w:iCs/>
      <w:color w:val="272727" w:themeColor="text1" w:themeTint="D8"/>
      <w:kern w:val="0"/>
      <w:sz w:val="28"/>
      <w:szCs w:val="22"/>
      <w:lang w:val="en-US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6B7ACB"/>
    <w:rPr>
      <w:rFonts w:eastAsiaTheme="majorEastAsia" w:cstheme="majorBidi"/>
      <w:color w:val="272727" w:themeColor="text1" w:themeTint="D8"/>
      <w:kern w:val="0"/>
      <w:sz w:val="28"/>
      <w:szCs w:val="22"/>
      <w:lang w:val="en-US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6B7ACB"/>
    <w:pPr>
      <w:spacing w:after="0" w:line="360" w:lineRule="auto" w:before="0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-10"/>
      <w:kern w:val="28"/>
      <w:sz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6B7ACB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6B7ACB"/>
    <w:pPr>
      <w:numPr>
        <w:ilvl w:val="1"/>
      </w:numPr>
      <w:spacing w:after="160" w:line="36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B7ACB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6B7ACB"/>
    <w:pPr>
      <w:spacing w:before="160" w:after="160" w:line="360" w:lineRule="auto"/>
      <w:jc w:val="center"/>
    </w:pPr>
    <w:rPr>
      <w:i/>
      <w:iCs/>
      <w:color w:val="404040" w:themeColor="text1" w:themeTint="BF"/>
      <w:sz w:val="28"/>
    </w:rPr>
  </w:style>
  <w:style w:type="character" w:customStyle="1" w:styleId="22">
    <w:name w:val="Цитата 2 Знак"/>
    <w:basedOn w:val="a0"/>
    <w:link w:val="21"/>
    <w:uiPriority w:val="29"/>
    <w:rsid w:val="006B7ACB"/>
    <w:rPr>
      <w:rFonts w:ascii="Times New Roman" w:eastAsiaTheme="minorEastAsia" w:hAnsi="Times New Roman"/>
      <w:i/>
      <w:iCs/>
      <w:color w:val="404040" w:themeColor="text1" w:themeTint="BF"/>
      <w:kern w:val="0"/>
      <w:sz w:val="28"/>
      <w:szCs w:val="22"/>
      <w:lang w:val="en-US"/>
      <w14:ligatures w14:val="none"/>
    </w:rPr>
  </w:style>
  <w:style w:type="paragraph" w:styleId="a7">
    <w:name w:val="List Paragraph"/>
    <w:basedOn w:val="a"/>
    <w:uiPriority w:val="34"/>
    <w:qFormat/>
    <w:rsid w:val="006B7ACB"/>
    <w:pPr>
      <w:spacing w:line="360" w:lineRule="auto"/>
      <w:ind w:left="720"/>
      <w:contextualSpacing/>
    </w:pPr>
    <w:rPr>
      <w:sz w:val="28"/>
    </w:rPr>
  </w:style>
  <w:style w:type="character" w:styleId="a8">
    <w:name w:val="Intense Emphasis"/>
    <w:basedOn w:val="a0"/>
    <w:uiPriority w:val="21"/>
    <w:qFormat/>
    <w:rsid w:val="006B7AC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7A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360" w:lineRule="auto"/>
      <w:ind w:left="864" w:right="864"/>
      <w:jc w:val="center"/>
    </w:pPr>
    <w:rPr>
      <w:i/>
      <w:iCs/>
      <w:color w:val="0F4761" w:themeColor="accent1" w:themeShade="BF"/>
      <w:sz w:val="28"/>
    </w:rPr>
  </w:style>
  <w:style w:type="character" w:customStyle="1" w:styleId="aa">
    <w:name w:val="Выделенная цитата Знак"/>
    <w:basedOn w:val="a0"/>
    <w:link w:val="a9"/>
    <w:uiPriority w:val="30"/>
    <w:rsid w:val="006B7ACB"/>
    <w:rPr>
      <w:rFonts w:ascii="Times New Roman" w:eastAsiaTheme="minorEastAsia" w:hAnsi="Times New Roman"/>
      <w:i/>
      <w:iCs/>
      <w:color w:val="0F4761" w:themeColor="accent1" w:themeShade="BF"/>
      <w:kern w:val="0"/>
      <w:sz w:val="28"/>
      <w:szCs w:val="22"/>
      <w:lang w:val="en-US"/>
      <w14:ligatures w14:val="none"/>
    </w:rPr>
  </w:style>
  <w:style w:type="character" w:styleId="ab">
    <w:name w:val="Intense Reference"/>
    <w:basedOn w:val="a0"/>
    <w:uiPriority w:val="32"/>
    <w:qFormat/>
    <w:rsid w:val="006B7ACB"/>
    <w:rPr>
      <w:b/>
      <w:bCs/>
      <w:smallCaps/>
      <w:color w:val="0F4761" w:themeColor="accent1" w:themeShade="BF"/>
      <w:spacing w:val="5"/>
    </w:rPr>
  </w:style>
  <w:style w:type="paragraph" w:styleId="ac">
    <w:name w:val="Body Text"/>
    <w:basedOn w:val="a"/>
    <w:link w:val="ad"/>
    <w:uiPriority w:val="99"/>
    <w:unhideWhenUsed/>
    <w:rsid w:val="00D1019A"/>
    <w:pPr>
      <w:spacing w:after="120"/>
    </w:pPr>
  </w:style>
  <w:style w:type="character" w:customStyle="1" w:styleId="ad">
    <w:name w:val="Основной текст Знак"/>
    <w:basedOn w:val="a0"/>
    <w:link w:val="ac"/>
    <w:uiPriority w:val="99"/>
    <w:rsid w:val="00D1019A"/>
    <w:rPr>
      <w:rFonts w:ascii="Times New Roman" w:eastAsiaTheme="minorEastAsia" w:hAnsi="Times New Roman"/>
      <w:kern w:val="0"/>
      <w:szCs w:val="22"/>
      <w:lang w:val="en-US"/>
      <w14:ligatures w14:val="none"/>
    </w:rPr>
  </w:style>
  <w:style w:type="table" w:styleId="ae">
    <w:name w:val="Table Grid"/>
    <w:basedOn w:val="a1"/>
    <w:uiPriority w:val="59"/>
    <w:rsid w:val="00D1019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18</Pages>
  <Words>2840</Words>
  <Characters>16191</Characters>
  <Application>Microsoft Office Word</Application>
  <DocSecurity>0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achipiga</dc:creator>
  <cp:keywords/>
  <dc:description/>
  <cp:lastModifiedBy>Азамат Фазлыев</cp:lastModifiedBy>
  <cp:revision>25</cp:revision>
  <dcterms:created xsi:type="dcterms:W3CDTF">2026-09-29T09:00:00Z</dcterms:created>
  <dcterms:modified xsi:type="dcterms:W3CDTF">2026-10-05T06:36:00Z</dcterms:modified>
</cp:coreProperties>
</file>