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B004D" w14:textId="77777777" w:rsidR="00D1019A" w:rsidRPr="007B3A09" w:rsidRDefault="00D1019A" w:rsidP="00D1019A">
      <w:pPr>
        <w:spacing w:after="120" w:line="240" w:lineRule="auto"/>
        <w:jc w:val="center"/>
        <w:rPr>
          <w:rFonts w:cs="Times New Roman"/>
          <w:sz w:val="28"/>
          <w:szCs w:val="28"/>
          <w:lang w:val="ru-RU"/>
        </w:rPr>
      </w:pPr>
      <w:r w:rsidRPr="007B3A09">
        <w:rPr>
          <w:rFonts w:cs="Times New Roman" w:ascii="Times New Roman" w:hAnsi="Times New Roman"/>
          <w:b w:val="0"/>
          <w:color w:val="000000"/>
          <w:sz w:val="28"/>
          <w:szCs w:val="28"/>
          <w:lang w:val="ru-RU"/>
        </w:rPr>
        <w:t>МИНОБРНАУКИ РОССИИ</w:t>
      </w:r>
    </w:p>
    <w:p w14:paraId="43677100" w14:textId="77777777" w:rsidR="00D1019A" w:rsidRPr="007B3A09" w:rsidRDefault="00D1019A" w:rsidP="00D1019A">
      <w:pPr>
        <w:pStyle w:val="ac"/>
        <w:spacing w:after="60" w:line="240" w:lineRule="auto"/>
        <w:jc w:val="center"/>
        <w:rPr>
          <w:sz w:val="28"/>
          <w:szCs w:val="28"/>
          <w:lang w:val="ru-RU"/>
        </w:rPr>
      </w:pPr>
      <w:r w:rsidRPr="007B3A09">
        <w:rPr>
          <w:rFonts w:ascii="Times New Roman" w:hAnsi="Times New Roman"/>
          <w:b w:val="0"/>
          <w:color w:val="000000"/>
          <w:sz w:val="28"/>
          <w:szCs w:val="28"/>
          <w:lang w:val="ru-RU"/>
        </w:rPr>
        <w:t>Федеральное государственное бюджетное образовательное</w:t>
      </w:r>
      <w:r w:rsidRPr="007B3A09">
        <w:rPr>
          <w:rFonts w:ascii="Times New Roman" w:hAnsi="Times New Roman"/>
          <w:b w:val="0"/>
          <w:color w:val="000000"/>
          <w:sz w:val="28"/>
          <w:szCs w:val="28"/>
          <w:lang w:val="ru-RU"/>
        </w:rPr>
        <w:br/>
        <w:t>учреждение высшего образования</w:t>
      </w:r>
    </w:p>
    <w:p w14:paraId="7266DD78" w14:textId="77777777" w:rsidR="00D1019A" w:rsidRPr="007B3A09" w:rsidRDefault="00D1019A" w:rsidP="00D1019A">
      <w:pPr>
        <w:spacing w:after="360" w:line="240" w:lineRule="auto"/>
        <w:ind w:left="1134" w:right="1134"/>
        <w:jc w:val="center"/>
        <w:rPr>
          <w:rFonts w:cs="Times New Roman"/>
          <w:sz w:val="28"/>
          <w:szCs w:val="28"/>
          <w:lang w:val="ru-RU"/>
        </w:rPr>
      </w:pPr>
      <w:r w:rsidRPr="007B3A09">
        <w:rPr>
          <w:rFonts w:cs="Times New Roman" w:ascii="Times New Roman" w:hAnsi="Times New Roman"/>
          <w:b w:val="0"/>
          <w:color w:val="000000"/>
          <w:sz w:val="28"/>
          <w:szCs w:val="28"/>
          <w:lang w:val="ru-RU"/>
        </w:rPr>
        <w:t>«Ижевский государственный технический университет имени М.Т. Калашникова»</w:t>
      </w:r>
    </w:p>
    <w:p w14:paraId="6F4B47F1" w14:textId="77777777" w:rsidR="00D1019A" w:rsidRPr="007B3A09" w:rsidRDefault="00D1019A" w:rsidP="00D1019A">
      <w:pPr>
        <w:shd w:val="clear" w:color="auto" w:fill="FCFCFC"/>
        <w:spacing w:after="1500" w:line="240" w:lineRule="auto"/>
        <w:jc w:val="center"/>
        <w:rPr>
          <w:rFonts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</w:rPr>
        <w:t>Кафедра «Программное обеспечение»</w:t>
      </w:r>
    </w:p>
    <w:p w14:paraId="3613D26D" w14:textId="77777777" w:rsidR="00D1019A" w:rsidRPr="007B3A09" w:rsidRDefault="00D1019A" w:rsidP="00D1019A">
      <w:pPr>
        <w:pStyle w:val="a3"/>
        <w:spacing w:after="0" w:line="240" w:lineRule="auto"/>
        <w:jc w:val="center"/>
        <w:rPr>
          <w:rFonts w:cs="Times New Roman"/>
          <w:b/>
          <w:caps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</w:rPr>
        <w:t>ОТЧЁТ</w:t>
      </w:r>
    </w:p>
    <w:p w14:paraId="317C6C66" w14:textId="77777777" w:rsidR="00D1019A" w:rsidRPr="007B3A09" w:rsidRDefault="00D1019A" w:rsidP="00D1019A">
      <w:pPr>
        <w:spacing w:after="0" w:line="240" w:lineRule="auto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</w:rPr>
        <w:t>по лабораторной работе № 2</w:t>
        <w:br/>
        <w:t>Архитектура и интерактивный прототип в коде</w:t>
      </w:r>
    </w:p>
    <w:p w14:paraId="0D5765DE" w14:textId="77777777" w:rsidR="00D1019A" w:rsidRPr="007B3A09" w:rsidRDefault="00D1019A" w:rsidP="00D1019A">
      <w:pPr>
        <w:spacing w:after="700" w:line="240" w:lineRule="auto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</w:rPr>
        <w:t>по дисциплине</w:t>
        <w:br/>
        <w:t>«Проектирование и конструирование ПО»</w:t>
        <w:br/>
        <w:t>Проект «Fit Nutrition Supply»</w:t>
      </w:r>
    </w:p>
    <w:tbl>
      <w:tblPr>
        <w:tblStyle w:val="ae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9"/>
        <w:gridCol w:w="273"/>
        <w:gridCol w:w="2031"/>
        <w:gridCol w:w="272"/>
        <w:gridCol w:w="2504"/>
      </w:tblGrid>
      <w:tr w:rsidR="00D1019A" w14:paraId="154CF4BB" w14:textId="77777777" w:rsidTr="00B2624B">
        <w:tc>
          <w:tcPr>
            <w:tcW w:w="2959" w:type="dxa"/>
            <w:vMerge w:val="restart"/>
            <w:vAlign w:val="center"/>
          </w:tcPr>
          <w:p w14:paraId="6CEB9CD5" w14:textId="77777777" w:rsidR="00D1019A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Выполнили</w:t>
            </w:r>
            <w:proofErr w:type="spellEnd"/>
          </w:p>
          <w:p w14:paraId="25EC9782" w14:textId="77777777" w:rsidR="00D1019A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студенты</w:t>
            </w:r>
            <w:proofErr w:type="spellEnd"/>
            <w:r>
              <w:rPr>
                <w:rFonts w:cs="Times New Roman"/>
                <w:sz w:val="28"/>
                <w:szCs w:val="28"/>
              </w:rPr>
              <w:br/>
            </w:r>
            <w:proofErr w:type="spellStart"/>
            <w:r>
              <w:rPr>
                <w:rFonts w:cs="Times New Roman"/>
                <w:sz w:val="28"/>
                <w:szCs w:val="28"/>
              </w:rPr>
              <w:t>группы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Б23-191-2:</w:t>
            </w:r>
          </w:p>
          <w:p w14:paraId="007D2116" w14:textId="77777777" w:rsidR="00D1019A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73" w:type="dxa"/>
          </w:tcPr>
          <w:p w14:paraId="5B6AE7B6" w14:textId="77777777" w:rsidR="00D1019A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031" w:type="dxa"/>
            <w:tcBorders>
              <w:bottom w:val="single" w:sz="4" w:space="0" w:color="auto"/>
            </w:tcBorders>
          </w:tcPr>
          <w:p w14:paraId="2F481D17" w14:textId="77777777" w:rsidR="00D1019A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72" w:type="dxa"/>
          </w:tcPr>
          <w:p w14:paraId="7C90D6D7" w14:textId="77777777" w:rsidR="00D1019A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504" w:type="dxa"/>
            <w:vAlign w:val="bottom"/>
          </w:tcPr>
          <w:p w14:paraId="5B8EEDFD" w14:textId="77777777" w:rsidR="00D1019A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  <w:lang w:val="ru-RU"/>
              </w:rPr>
              <w:t>Чипига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</w:t>
            </w:r>
            <w:r>
              <w:rPr>
                <w:rFonts w:cs="Times New Roman"/>
                <w:sz w:val="28"/>
                <w:szCs w:val="28"/>
                <w:lang w:val="ru-RU"/>
              </w:rPr>
              <w:t>А</w:t>
            </w:r>
            <w:r>
              <w:rPr>
                <w:rFonts w:cs="Times New Roman"/>
                <w:sz w:val="28"/>
                <w:szCs w:val="28"/>
              </w:rPr>
              <w:t>. А.</w:t>
            </w:r>
          </w:p>
        </w:tc>
      </w:tr>
      <w:tr w:rsidR="00D1019A" w14:paraId="3D60C86C" w14:textId="77777777" w:rsidTr="00B2624B">
        <w:tc>
          <w:tcPr>
            <w:tcW w:w="2959" w:type="dxa"/>
            <w:vMerge/>
            <w:vAlign w:val="center"/>
          </w:tcPr>
          <w:p w14:paraId="44555A0A" w14:textId="77777777" w:rsidR="00D1019A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73" w:type="dxa"/>
          </w:tcPr>
          <w:p w14:paraId="196BFCA4" w14:textId="77777777" w:rsidR="00D1019A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031" w:type="dxa"/>
            <w:tcBorders>
              <w:top w:val="single" w:sz="4" w:space="0" w:color="auto"/>
            </w:tcBorders>
          </w:tcPr>
          <w:p w14:paraId="5EC7CC3C" w14:textId="77777777" w:rsidR="00D1019A" w:rsidRPr="006B55F5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Fonts w:cs="Times New Roman"/>
                <w:sz w:val="20"/>
                <w:szCs w:val="20"/>
              </w:rPr>
              <w:t>подпись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cs="Times New Roman"/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272" w:type="dxa"/>
          </w:tcPr>
          <w:p w14:paraId="31F2FD87" w14:textId="77777777" w:rsidR="00D1019A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504" w:type="dxa"/>
          </w:tcPr>
          <w:p w14:paraId="51F4F4D1" w14:textId="77777777" w:rsidR="00D1019A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D1019A" w14:paraId="55F90340" w14:textId="77777777" w:rsidTr="00B2624B">
        <w:tc>
          <w:tcPr>
            <w:tcW w:w="2959" w:type="dxa"/>
            <w:vMerge/>
            <w:vAlign w:val="center"/>
          </w:tcPr>
          <w:p w14:paraId="44F5B08D" w14:textId="77777777" w:rsidR="00D1019A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73" w:type="dxa"/>
          </w:tcPr>
          <w:p w14:paraId="2082D87B" w14:textId="77777777" w:rsidR="00D1019A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031" w:type="dxa"/>
            <w:tcBorders>
              <w:bottom w:val="single" w:sz="4" w:space="0" w:color="auto"/>
            </w:tcBorders>
          </w:tcPr>
          <w:p w14:paraId="56B7B68E" w14:textId="77777777" w:rsidR="00D1019A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72" w:type="dxa"/>
          </w:tcPr>
          <w:p w14:paraId="60E3578D" w14:textId="77777777" w:rsidR="00D1019A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504" w:type="dxa"/>
          </w:tcPr>
          <w:p w14:paraId="0CA2A0A1" w14:textId="77777777" w:rsidR="00D1019A" w:rsidRDefault="00E50067" w:rsidP="00B2624B">
            <w:pPr>
              <w:tabs>
                <w:tab w:val="left" w:pos="3960"/>
                <w:tab w:val="left" w:pos="5220"/>
              </w:tabs>
              <w:spacing w:line="240" w:lineRule="auto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Фазлыев А</w:t>
            </w:r>
            <w:r w:rsidR="00D1019A">
              <w:rPr>
                <w:rFonts w:cs="Times New Roman"/>
                <w:sz w:val="28"/>
                <w:szCs w:val="28"/>
              </w:rPr>
              <w:t xml:space="preserve">. </w:t>
            </w:r>
            <w:r w:rsidR="00D1019A">
              <w:rPr>
                <w:rFonts w:cs="Times New Roman"/>
                <w:sz w:val="28"/>
                <w:szCs w:val="28"/>
                <w:lang w:val="ru-RU"/>
              </w:rPr>
              <w:t>А</w:t>
            </w:r>
            <w:r w:rsidR="00D1019A">
              <w:rPr>
                <w:rFonts w:cs="Times New Roman"/>
                <w:sz w:val="28"/>
                <w:szCs w:val="28"/>
              </w:rPr>
              <w:t>.</w:t>
            </w:r>
          </w:p>
        </w:tc>
      </w:tr>
      <w:tr w:rsidR="00D1019A" w14:paraId="7F37AADF" w14:textId="77777777" w:rsidTr="00B2624B">
        <w:tc>
          <w:tcPr>
            <w:tcW w:w="2959" w:type="dxa"/>
            <w:vMerge/>
            <w:vAlign w:val="center"/>
          </w:tcPr>
          <w:p w14:paraId="4CFE8205" w14:textId="77777777" w:rsidR="00D1019A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73" w:type="dxa"/>
          </w:tcPr>
          <w:p w14:paraId="5ACED680" w14:textId="77777777" w:rsidR="00D1019A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031" w:type="dxa"/>
            <w:tcBorders>
              <w:top w:val="single" w:sz="4" w:space="0" w:color="auto"/>
            </w:tcBorders>
          </w:tcPr>
          <w:p w14:paraId="4C07E0CA" w14:textId="77777777" w:rsidR="00D1019A" w:rsidRPr="006B55F5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Fonts w:cs="Times New Roman"/>
                <w:sz w:val="20"/>
                <w:szCs w:val="20"/>
              </w:rPr>
              <w:t>подпись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cs="Times New Roman"/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272" w:type="dxa"/>
          </w:tcPr>
          <w:p w14:paraId="65477BA0" w14:textId="77777777" w:rsidR="00D1019A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504" w:type="dxa"/>
          </w:tcPr>
          <w:p w14:paraId="025E8597" w14:textId="77777777" w:rsidR="00D1019A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</w:tbl>
    <w:p w14:paraId="15A335FC" w14:textId="77777777" w:rsidR="00D1019A" w:rsidRDefault="00D1019A" w:rsidP="00D1019A">
      <w:pPr>
        <w:tabs>
          <w:tab w:val="left" w:pos="3960"/>
          <w:tab w:val="left" w:pos="5220"/>
        </w:tabs>
        <w:spacing w:after="0" w:line="240" w:lineRule="auto"/>
        <w:jc w:val="center"/>
        <w:rPr>
          <w:rFonts w:cs="Times New Roman"/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</w:rPr>
      </w:r>
    </w:p>
    <w:tbl>
      <w:tblPr>
        <w:tblStyle w:val="ae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3"/>
        <w:gridCol w:w="281"/>
        <w:gridCol w:w="2201"/>
        <w:gridCol w:w="280"/>
        <w:gridCol w:w="2583"/>
      </w:tblGrid>
      <w:tr w:rsidR="00D1019A" w14:paraId="48E813A5" w14:textId="77777777" w:rsidTr="00B2624B">
        <w:tc>
          <w:tcPr>
            <w:tcW w:w="3260" w:type="dxa"/>
          </w:tcPr>
          <w:p>
            <w:r>
              <w:t>Проверил</w:t>
            </w:r>
          </w:p>
        </w:tc>
        <w:tc>
          <w:tcPr>
            <w:tcW w:w="284" w:type="dxa"/>
          </w:tcPr>
          <w:p w14:paraId="449D23B9" w14:textId="77777777" w:rsidR="00D1019A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B704639" w14:textId="77777777" w:rsidR="00D1019A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7D42E6A0" w14:textId="77777777" w:rsidR="00D1019A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659" w:type="dxa"/>
            <w:vAlign w:val="bottom"/>
          </w:tcPr>
          <w:p>
            <w:r>
              <w:t>Еланцев М. О.</w:t>
            </w:r>
          </w:p>
        </w:tc>
      </w:tr>
      <w:tr w:rsidR="00D1019A" w14:paraId="34CD6099" w14:textId="77777777" w:rsidTr="00B2624B">
        <w:tc>
          <w:tcPr>
            <w:tcW w:w="3260" w:type="dxa"/>
          </w:tcPr>
          <w:p w14:paraId="0A466E6C" w14:textId="77777777" w:rsidR="00D1019A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84" w:type="dxa"/>
          </w:tcPr>
          <w:p w14:paraId="4B06D1AB" w14:textId="77777777" w:rsidR="00D1019A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5FA65BF2" w14:textId="77777777" w:rsidR="00D1019A" w:rsidRPr="006B55F5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Fonts w:cs="Times New Roman"/>
                <w:sz w:val="20"/>
                <w:szCs w:val="20"/>
              </w:rPr>
              <w:t>подпись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cs="Times New Roman"/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283" w:type="dxa"/>
          </w:tcPr>
          <w:p w14:paraId="0C22300E" w14:textId="77777777" w:rsidR="00D1019A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659" w:type="dxa"/>
          </w:tcPr>
          <w:p w14:paraId="169A3419" w14:textId="77777777" w:rsidR="00D1019A" w:rsidRDefault="00D1019A" w:rsidP="00B2624B">
            <w:pPr>
              <w:tabs>
                <w:tab w:val="left" w:pos="3960"/>
                <w:tab w:val="left" w:pos="5220"/>
              </w:tabs>
              <w:spacing w:line="24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</w:tbl>
    <w:p w14:paraId="45FFAC4B" w14:textId="77777777" w:rsidR="00D1019A" w:rsidRDefault="00D1019A" w:rsidP="00D1019A">
      <w:pPr>
        <w:tabs>
          <w:tab w:val="left" w:pos="0"/>
        </w:tabs>
        <w:spacing w:line="240" w:lineRule="auto"/>
        <w:jc w:val="center"/>
        <w:rPr>
          <w:rFonts w:cs="Times New Roman"/>
          <w:sz w:val="28"/>
          <w:szCs w:val="28"/>
          <w:lang w:val="ru-RU"/>
        </w:rPr>
      </w:pPr>
    </w:p>
    <w:p w14:paraId="7C81837F" w14:textId="77777777" w:rsidR="00F60646" w:rsidRDefault="00F60646" w:rsidP="00D1019A">
      <w:pPr>
        <w:tabs>
          <w:tab w:val="left" w:pos="0"/>
        </w:tabs>
        <w:spacing w:line="240" w:lineRule="auto"/>
        <w:jc w:val="center"/>
        <w:rPr>
          <w:rFonts w:cs="Times New Roman"/>
          <w:sz w:val="28"/>
          <w:szCs w:val="28"/>
          <w:lang w:val="ru-RU"/>
        </w:rPr>
      </w:pPr>
    </w:p>
    <w:p w14:paraId="0F9E9F91" w14:textId="77777777" w:rsidR="00F60646" w:rsidRDefault="00F60646" w:rsidP="00D1019A">
      <w:pPr>
        <w:tabs>
          <w:tab w:val="left" w:pos="0"/>
        </w:tabs>
        <w:spacing w:line="240" w:lineRule="auto"/>
        <w:jc w:val="center"/>
        <w:rPr>
          <w:rFonts w:cs="Times New Roman"/>
          <w:sz w:val="28"/>
          <w:szCs w:val="28"/>
          <w:lang w:val="ru-RU"/>
        </w:rPr>
      </w:pPr>
    </w:p>
    <w:p w14:paraId="535C3E0A" w14:textId="77777777" w:rsidR="00F60646" w:rsidRDefault="00F60646" w:rsidP="00D1019A">
      <w:pPr>
        <w:tabs>
          <w:tab w:val="left" w:pos="0"/>
        </w:tabs>
        <w:spacing w:line="240" w:lineRule="auto"/>
        <w:jc w:val="center"/>
        <w:rPr>
          <w:rFonts w:cs="Times New Roman"/>
          <w:sz w:val="28"/>
          <w:szCs w:val="28"/>
          <w:lang w:val="ru-RU"/>
        </w:rPr>
      </w:pPr>
    </w:p>
    <w:p w14:paraId="14C4E099" w14:textId="7EAAF8D6" w:rsidR="00D1019A" w:rsidRDefault="00D1019A" w:rsidP="00D1019A">
      <w:pPr>
        <w:tabs>
          <w:tab w:val="left" w:pos="0"/>
        </w:tabs>
        <w:spacing w:line="240" w:lineRule="auto"/>
        <w:jc w:val="center"/>
        <w:rPr>
          <w:rFonts w:cs="Times New Roman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</w:rPr>
        <w:t>Ижевск, 2026</w:t>
      </w:r>
    </w:p>
    <w:p>
      <w:r>
        <w:br w:type="page"/>
      </w:r>
    </w:p>
    <w:p>
      <w:pPr>
        <w:pStyle w:val="1"/>
        <w:pageBreakBefore w:val="0"/>
      </w:pPr>
      <w:r>
        <w:t>СОДЕРЖАНИЕ</w:t>
      </w:r>
    </w:p>
    <w:p>
      <w:pPr>
        <w:tabs>
          <w:tab w:pos="9298" w:val="right" w:leader="dot"/>
        </w:tabs>
        <w:spacing w:line="360" w:lineRule="auto"/>
      </w:pPr>
      <w:r>
        <w:rPr>
          <w:rFonts w:ascii="Times New Roman" w:hAnsi="Times New Roman"/>
          <w:b w:val="0"/>
          <w:color w:val="000000"/>
          <w:sz w:val="24"/>
        </w:rPr>
        <w:t>Введение</w:t>
        <w:tab/>
        <w:t>3</w:t>
      </w:r>
    </w:p>
    <w:p>
      <w:pPr>
        <w:tabs>
          <w:tab w:pos="9298" w:val="right" w:leader="dot"/>
        </w:tabs>
        <w:spacing w:line="360" w:lineRule="auto"/>
      </w:pPr>
      <w:r>
        <w:rPr>
          <w:rFonts w:ascii="Times New Roman" w:hAnsi="Times New Roman"/>
          <w:b w:val="0"/>
          <w:color w:val="000000"/>
          <w:sz w:val="24"/>
        </w:rPr>
        <w:t>1 Уточнение концепции после замечаний</w:t>
        <w:tab/>
        <w:t>4</w:t>
      </w:r>
    </w:p>
    <w:p>
      <w:pPr>
        <w:tabs>
          <w:tab w:pos="9298" w:val="right" w:leader="dot"/>
        </w:tabs>
        <w:spacing w:line="360" w:lineRule="auto"/>
      </w:pPr>
      <w:r>
        <w:rPr>
          <w:rFonts w:ascii="Times New Roman" w:hAnsi="Times New Roman"/>
          <w:b w:val="0"/>
          <w:color w:val="000000"/>
          <w:sz w:val="24"/>
        </w:rPr>
        <w:t>2 Структурная схема и технологии</w:t>
        <w:tab/>
        <w:t>5</w:t>
      </w:r>
    </w:p>
    <w:p>
      <w:pPr>
        <w:tabs>
          <w:tab w:pos="9298" w:val="right" w:leader="dot"/>
        </w:tabs>
        <w:spacing w:line="360" w:lineRule="auto"/>
      </w:pPr>
      <w:r>
        <w:rPr>
          <w:rFonts w:ascii="Times New Roman" w:hAnsi="Times New Roman"/>
          <w:b w:val="0"/>
          <w:color w:val="000000"/>
          <w:sz w:val="24"/>
        </w:rPr>
        <w:t>3 Сценарии использования и интерфейс</w:t>
        <w:tab/>
        <w:t>7</w:t>
      </w:r>
    </w:p>
    <w:p>
      <w:pPr>
        <w:tabs>
          <w:tab w:pos="9298" w:val="right" w:leader="dot"/>
        </w:tabs>
        <w:spacing w:line="360" w:lineRule="auto"/>
      </w:pPr>
      <w:r>
        <w:rPr>
          <w:rFonts w:ascii="Times New Roman" w:hAnsi="Times New Roman"/>
          <w:b w:val="0"/>
          <w:color w:val="000000"/>
          <w:sz w:val="24"/>
        </w:rPr>
        <w:t>4 Модель данных</w:t>
        <w:tab/>
        <w:t>9</w:t>
      </w:r>
    </w:p>
    <w:p>
      <w:pPr>
        <w:tabs>
          <w:tab w:pos="9298" w:val="right" w:leader="dot"/>
        </w:tabs>
        <w:spacing w:line="360" w:lineRule="auto"/>
      </w:pPr>
      <w:r>
        <w:rPr>
          <w:rFonts w:ascii="Times New Roman" w:hAnsi="Times New Roman"/>
          <w:b w:val="0"/>
          <w:color w:val="000000"/>
          <w:sz w:val="24"/>
        </w:rPr>
        <w:t>5 Программные интерфейсы</w:t>
        <w:tab/>
        <w:t>11</w:t>
      </w:r>
    </w:p>
    <w:p>
      <w:pPr>
        <w:tabs>
          <w:tab w:pos="9298" w:val="right" w:leader="dot"/>
        </w:tabs>
        <w:spacing w:line="360" w:lineRule="auto"/>
      </w:pPr>
      <w:r>
        <w:rPr>
          <w:rFonts w:ascii="Times New Roman" w:hAnsi="Times New Roman"/>
          <w:b w:val="0"/>
          <w:color w:val="000000"/>
          <w:sz w:val="24"/>
        </w:rPr>
        <w:t>6 Архитектурные решения</w:t>
        <w:tab/>
        <w:t>13</w:t>
      </w:r>
    </w:p>
    <w:p>
      <w:pPr>
        <w:tabs>
          <w:tab w:pos="9298" w:val="right" w:leader="dot"/>
        </w:tabs>
        <w:spacing w:line="360" w:lineRule="auto"/>
      </w:pPr>
      <w:r>
        <w:rPr>
          <w:rFonts w:ascii="Times New Roman" w:hAnsi="Times New Roman"/>
          <w:b w:val="0"/>
          <w:color w:val="000000"/>
          <w:sz w:val="24"/>
        </w:rPr>
        <w:t>7 Проверка прототипа и покрытие требований</w:t>
        <w:tab/>
        <w:t>18</w:t>
      </w:r>
    </w:p>
    <w:p>
      <w:pPr>
        <w:tabs>
          <w:tab w:pos="9298" w:val="right" w:leader="dot"/>
        </w:tabs>
        <w:spacing w:line="360" w:lineRule="auto"/>
      </w:pPr>
      <w:r>
        <w:rPr>
          <w:rFonts w:ascii="Times New Roman" w:hAnsi="Times New Roman"/>
          <w:b w:val="0"/>
          <w:color w:val="000000"/>
          <w:sz w:val="24"/>
        </w:rPr>
        <w:t>8 Работа с ИИ агентом</w:t>
        <w:tab/>
        <w:t>20</w:t>
      </w:r>
    </w:p>
    <w:p>
      <w:pPr>
        <w:tabs>
          <w:tab w:pos="9298" w:val="right" w:leader="dot"/>
        </w:tabs>
        <w:spacing w:line="360" w:lineRule="auto"/>
      </w:pPr>
      <w:r>
        <w:rPr>
          <w:rFonts w:ascii="Times New Roman" w:hAnsi="Times New Roman"/>
          <w:b w:val="0"/>
          <w:color w:val="000000"/>
          <w:sz w:val="24"/>
        </w:rPr>
        <w:t>Заключение</w:t>
        <w:tab/>
        <w:t>21</w:t>
      </w:r>
    </w:p>
    <w:p>
      <w:pPr>
        <w:tabs>
          <w:tab w:pos="9298" w:val="right" w:leader="dot"/>
        </w:tabs>
        <w:spacing w:line="360" w:lineRule="auto"/>
      </w:pPr>
      <w:r>
        <w:rPr>
          <w:rFonts w:ascii="Times New Roman" w:hAnsi="Times New Roman"/>
          <w:b w:val="0"/>
          <w:color w:val="000000"/>
          <w:sz w:val="24"/>
        </w:rPr>
        <w:t>Источники</w:t>
        <w:tab/>
        <w:t>22</w:t>
      </w:r>
    </w:p>
    <w:p>
      <w:pPr>
        <w:tabs>
          <w:tab w:pos="9298" w:val="right" w:leader="dot"/>
        </w:tabs>
        <w:spacing w:line="360" w:lineRule="auto"/>
      </w:pPr>
      <w:r>
        <w:rPr>
          <w:rFonts w:ascii="Times New Roman" w:hAnsi="Times New Roman"/>
          <w:b w:val="0"/>
          <w:color w:val="000000"/>
          <w:sz w:val="24"/>
        </w:rPr>
        <w:t>Приложение А Схемы</w:t>
        <w:tab/>
        <w:t>23</w:t>
      </w:r>
    </w:p>
    <w:p>
      <w:pPr>
        <w:tabs>
          <w:tab w:pos="9298" w:val="right" w:leader="dot"/>
        </w:tabs>
        <w:spacing w:line="360" w:lineRule="auto"/>
      </w:pPr>
      <w:r>
        <w:rPr>
          <w:rFonts w:ascii="Times New Roman" w:hAnsi="Times New Roman"/>
          <w:b w:val="0"/>
          <w:color w:val="000000"/>
          <w:sz w:val="24"/>
        </w:rPr>
        <w:t>Приложение Б Протокол проверки</w:t>
        <w:tab/>
        <w:t>30</w:t>
      </w:r>
    </w:p>
    <w:p>
      <w:pPr>
        <w:pStyle w:val="1"/>
        <w:pageBreakBefore/>
      </w:pPr>
      <w:r>
        <w:t>Введение</w:t>
      </w:r>
    </w:p>
    <w:p>
      <w:pPr>
        <w:spacing w:line="360" w:lineRule="auto"/>
        <w:ind w:firstLine="709"/>
        <w:jc w:val="both"/>
      </w:pPr>
      <w:r>
        <w:t>Цель работы — спроектировать архитектуру Fit Nutrition Supply и создать исполняемый прототип с экранными формами и навигацией. Работу выполняют Фазлыев А. А. и Чипига А. А., группа Б23-191-2. Основание требований — сданный отчёт ЛР1, сохранённый в sources/submitted-lab1/. Номера требований в данном документе относятся именно к нему.</w:t>
      </w:r>
    </w:p>
    <w:p>
      <w:pPr>
        <w:spacing w:line="360" w:lineRule="auto"/>
        <w:ind w:firstLine="709"/>
        <w:jc w:val="both"/>
      </w:pPr>
      <w:r>
        <w:t>Прототип реализует связанный сценарий: параметры питания → рацион → рецепт и замена → список покупок → сравнение корзин. Это первый срез продукта, а не завершённая реализация всех требований ЛР1. Реальные интеграции магазинов и внешний ИИ не подключены. Учебные предложения пяти сетей и приближённые значения пищевой ценности явно обозначены в интерфейсе.</w:t>
      </w:r>
    </w:p>
    <w:p>
      <w:pPr>
        <w:pStyle w:val="1"/>
        <w:pageBreakBefore/>
      </w:pPr>
      <w:r>
        <w:t>1 Уточнение концепции после замечаний</w:t>
      </w:r>
    </w:p>
    <w:p>
      <w:pPr>
        <w:spacing w:line="360" w:lineRule="auto"/>
        <w:ind w:firstLine="709"/>
        <w:jc w:val="both"/>
      </w:pPr>
      <w:r>
        <w:t>Основная целевая аудитория — взрослые люди, заинтересованные в снижении веса и планирующие готовить самостоятельно. Приложение помогает связать калорийность меню с повседневными покупками. Возможность использования людьми с другими целями не меняет основную ЦА. Ижевск — город пилота, а не признак принадлежности к аудитории.</w:t>
      </w:r>
    </w:p>
    <w:p>
      <w:pPr>
        <w:spacing w:line="360" w:lineRule="auto"/>
        <w:ind w:firstLine="709"/>
        <w:jc w:val="both"/>
      </w:pPr>
      <w:r>
        <w:t>Бюджет и свободное время учитываются как ограничения: пользователь задаёт сумму на период и максимальное время приготовления блюда. Сервис не гарантирует, что любое сочетание ограничений выполнимо. При нехватке рецептов он сообщает об этом и сохраняет предыдущий план; при превышении бюджета показывает сумму превышения.</w:t>
      </w:r>
    </w:p>
    <w:p>
      <w:pPr>
        <w:spacing w:line="360" w:lineRule="auto"/>
        <w:ind w:firstLine="709"/>
        <w:jc w:val="both"/>
      </w:pPr>
      <w:r>
        <w:t>В дополнении к ЛР1 приведены таблицы аналогов с колонкой собственного продукта и уточнённое NFR-05 с фиксированными версиями браузеров. Сданные материалы сохранены без перезаписи, чтобы было видно исходное состояние и внесённые уточнения.</w:t>
      </w:r>
    </w:p>
    <w:p>
      <w:pPr>
        <w:pStyle w:val="1"/>
        <w:pageBreakBefore/>
      </w:pPr>
      <w:r>
        <w:t>2 Структурная схема и технологии</w:t>
      </w:r>
    </w:p>
    <w:p>
      <w:pPr>
        <w:spacing w:line="360" w:lineRule="auto"/>
        <w:ind w:firstLine="709"/>
        <w:jc w:val="both"/>
      </w:pPr>
      <w:r>
        <w:t>Принят модульный монолит с браузерным интерфейсом и одним серверным процессом. Интерфейс отправляет JSON-запросы; сервер проверяет сессию и входные данные, вызывает прикладные функции и обращается к SQLite. Доменные расчёты вынесены из HTTP-обработчика в domain.py.</w:t>
      </w:r>
    </w:p>
    <w:p>
      <w:pPr>
        <w:spacing w:line="276" w:lineRule="auto" w:after="10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См. рисунок 1 - Структурная схема системы (приложение А).</w:t>
      </w:r>
    </w:p>
    <w:p>
      <w:pPr>
        <w:keepNext/>
      </w:pPr>
      <w:r>
        <w:rPr>
          <w:rFonts w:ascii="Times New Roman" w:hAnsi="Times New Roman"/>
          <w:b w:val="0"/>
          <w:color w:val="000000"/>
          <w:sz w:val="24"/>
        </w:rPr>
        <w:t>Таблица 1</w:t>
      </w:r>
    </w:p>
    <w:tbl>
      <w:tblPr>
        <w:tblStyle w:val="ae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3458"/>
        <w:gridCol w:w="3515"/>
      </w:tblGrid>
      <w:tr>
        <w:trPr>
          <w:cantSplit/>
          <w:tblHeader/>
        </w:trPr>
        <w:tc>
          <w:tcPr>
            <w:tcW w:type="dxa" w:w="2381"/>
          </w:tcPr>
          <w:p>
            <w:pPr>
              <w:spacing w:line="252" w:lineRule="auto" w:after="60" w:before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Подсистема</w:t>
            </w:r>
          </w:p>
        </w:tc>
        <w:tc>
          <w:tcPr>
            <w:tcW w:type="dxa" w:w="3458"/>
          </w:tcPr>
          <w:p>
            <w:pPr>
              <w:spacing w:line="252" w:lineRule="auto" w:after="60" w:before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Ответственность</w:t>
            </w:r>
          </w:p>
        </w:tc>
        <w:tc>
          <w:tcPr>
            <w:tcW w:type="dxa" w:w="3515"/>
          </w:tcPr>
          <w:p>
            <w:pPr>
              <w:spacing w:line="252" w:lineRule="auto" w:after="60" w:before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Реализация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UI</w:t>
            </w:r>
          </w:p>
        </w:tc>
        <w:tc>
          <w:tcPr>
            <w:tcW w:type="dxa" w:w="345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Формы, маршруты экранов, диалог рецепта, состояния ошибок</w:t>
            </w:r>
          </w:p>
        </w:tc>
        <w:tc>
          <w:tcPr>
            <w:tcW w:type="dxa" w:w="3515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static/index.html, app.js, style.css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HTTP API</w:t>
            </w:r>
          </w:p>
        </w:tc>
        <w:tc>
          <w:tcPr>
            <w:tcW w:type="dxa" w:w="345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JSON, валидация запросов, принадлежность данных пользователю</w:t>
            </w:r>
          </w:p>
        </w:tc>
        <w:tc>
          <w:tcPr>
            <w:tcW w:type="dxa" w:w="3515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server.py, Handler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Авторизация</w:t>
            </w:r>
          </w:p>
        </w:tc>
        <w:tc>
          <w:tcPr>
            <w:tcW w:type="dxa" w:w="345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Регистрация, bcrypt, cookie-сессии и ограничение попыток</w:t>
            </w:r>
          </w:p>
        </w:tc>
        <w:tc>
          <w:tcPr>
            <w:tcW w:type="dxa" w:w="3515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server.py, таблицы users, sessions, login_attempts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Планирование</w:t>
            </w:r>
          </w:p>
        </w:tc>
        <w:tc>
          <w:tcPr>
            <w:tcW w:type="dxa" w:w="345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Норма калорий, подбор допустимых блюд, размеры порций</w:t>
            </w:r>
          </w:p>
        </w:tc>
        <w:tc>
          <w:tcPr>
            <w:tcW w:type="dxa" w:w="3515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domain.py, validate_settings, generate_plan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Закупки</w:t>
            </w:r>
          </w:p>
        </w:tc>
        <w:tc>
          <w:tcPr>
            <w:tcW w:type="dxa" w:w="345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Список, запасы, упаковки, полнота, сравнение, бюджет</w:t>
            </w:r>
          </w:p>
        </w:tc>
        <w:tc>
          <w:tcPr>
            <w:tcW w:type="dxa" w:w="3515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domain.py, shopping, calculate_baskets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Источник цен</w:t>
            </w:r>
          </w:p>
        </w:tc>
        <w:tc>
          <w:tcPr>
            <w:tcW w:type="dxa" w:w="345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Чтение предложений и обновление демонстрационного набора</w:t>
            </w:r>
          </w:p>
        </w:tc>
        <w:tc>
          <w:tcPr>
            <w:tcW w:type="dxa" w:w="3515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prices.py, DemoPriceProvider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Хранение</w:t>
            </w:r>
          </w:p>
        </w:tc>
        <w:tc>
          <w:tcPr>
            <w:tcW w:type="dxa" w:w="345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Параметризованный SQL, транзакции, внешние ключи</w:t>
            </w:r>
          </w:p>
        </w:tc>
        <w:tc>
          <w:tcPr>
            <w:tcW w:type="dxa" w:w="3515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server.py, connect, schema.sql</w:t>
            </w:r>
          </w:p>
        </w:tc>
      </w:tr>
    </w:tbl>
    <w:p>
      <w:pPr>
        <w:spacing w:after="60"/>
      </w:pPr>
    </w:p>
    <w:p>
      <w:pPr>
        <w:spacing w:line="360" w:lineRule="auto"/>
        <w:ind w:firstLine="709"/>
        <w:jc w:val="both"/>
      </w:pPr>
      <w:r>
        <w:t>Подсистемы выделены по ответственности. Авторизация и SQL пока находятся в server.py; вычисления и источник цен вынесены отдельно. Это модульный прототип, а не набор независимых сетевых сервисов.</w:t>
      </w:r>
    </w:p>
    <w:p>
      <w:pPr>
        <w:spacing w:line="360" w:lineRule="auto"/>
        <w:ind w:firstLine="709"/>
        <w:jc w:val="both"/>
      </w:pPr>
      <w:r>
        <w:t>Стек: Python 3.12, http.server, sqlite3, SQLite, bcrypt 5.0.0, HTML5, CSS3, JavaScript ES2020, HTTP/JSON. Проверки: unittest и Playwright. Документация: Graphviz, draw.io, python-docx и LibreOffice; эти инструменты не нужны для запуска приложения.</w:t>
      </w:r>
    </w:p>
    <w:p>
      <w:pPr>
        <w:spacing w:line="360" w:lineRule="auto"/>
        <w:ind w:firstLine="709"/>
        <w:jc w:val="both"/>
      </w:pPr>
      <w:r>
        <w:t>В прототипе HTTP-сервер слушает только 127.0.0.1. Это локальная демонстрация. Публикация в интернете потребует сервера приложений и HTTPS; NFR-01 в части HTTPS пока не выполнено.</w:t>
      </w:r>
    </w:p>
    <w:p>
      <w:pPr>
        <w:pStyle w:val="1"/>
        <w:pageBreakBefore/>
      </w:pPr>
      <w:r>
        <w:t>3 Сценарии использования и интерфейс</w:t>
      </w:r>
    </w:p>
    <w:p>
      <w:pPr>
        <w:pStyle w:val="2"/>
      </w:pPr>
      <w:r>
        <w:t>3.1 Варианты использования</w:t>
      </w:r>
    </w:p>
    <w:p>
      <w:pPr>
        <w:spacing w:line="360" w:lineRule="auto"/>
        <w:ind w:firstLine="709"/>
        <w:jc w:val="both"/>
      </w:pPr>
      <w:r>
        <w:t>Актор — взрослый пользователь. Он регистрируется или входит, задаёт параметры, получает меню, открывает рецепты, выбирает замену, учитывает запасы и сравнивает закупку. Получение списка входит в состав сценария меню, а расчёт целых упаковок — в сравнение корзин. Источник учебных цен является внутренним компонентом, поэтому на диаграмме он не изображён как реальный внешний магазин.</w:t>
      </w:r>
    </w:p>
    <w:p>
      <w:pPr>
        <w:spacing w:line="276" w:lineRule="auto" w:after="10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См. рисунок 2 - Диаграмма вариантов использования (приложение А).</w:t>
      </w:r>
    </w:p>
    <w:p>
      <w:pPr>
        <w:pStyle w:val="2"/>
      </w:pPr>
      <w:r>
        <w:t>3.2 Основной сценарий</w:t>
      </w:r>
    </w:p>
    <w:p>
      <w:pPr>
        <w:spacing w:line="360" w:lineRule="auto"/>
        <w:ind w:firstLine="709"/>
        <w:jc w:val="both"/>
      </w:pPr>
      <w:r>
        <w:t>После входа пользователь заполняет параметры и период 7–31 день, выбирает 3–5 приёмов пищи, бюджет, время и исключения. Сервер проверяет поля и рассчитывает ориентир калорий. Для каждого приёма выбирается допустимый рецепт, затем размер порции масштабируется под долю суточной энергии. Лимит повторов проверяется в календарной неделе. Новый план записывается транзакцией только после успешного подбора всех позиций.</w:t>
      </w:r>
    </w:p>
    <w:p>
      <w:pPr>
        <w:spacing w:line="360" w:lineRule="auto"/>
        <w:ind w:firstLine="709"/>
        <w:jc w:val="both"/>
      </w:pPr>
      <w:r>
        <w:t>Из сохранённого плана формируется единый список, вычитаются домашние запасы, количества округляются до целых товарных упаковок. Полные корзины сортируются по сумме покупки. Неполная корзина показывается отдельно и не рекомендуется как самая дешёвая.</w:t>
      </w:r>
    </w:p>
    <w:p>
      <w:pPr>
        <w:spacing w:line="276" w:lineRule="auto" w:after="10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См. рисунок 3 - Основной сценарий (приложение А).</w:t>
      </w:r>
    </w:p>
    <w:p>
      <w:pPr>
        <w:pStyle w:val="2"/>
      </w:pPr>
      <w:r>
        <w:t>3.3 Альтернативный сценарий</w:t>
      </w:r>
    </w:p>
    <w:p>
      <w:pPr>
        <w:spacing w:line="360" w:lineRule="auto"/>
        <w:ind w:firstLine="709"/>
        <w:jc w:val="both"/>
      </w:pPr>
      <w:r>
        <w:t>Пользователь открывает блюдо и запрашивает альтернативы. Сервер учитывает тип приёма пищи, аллергены, исключённые продукты, время и повторы в выбранной календарной неделе. Подтверждённая замена меняет только одну позицию. Размер порции сохраняет энергетическую долю заменяемого приёма; суточные значения, список и корзины пересчитываются. При отмене запрос изменения не отправляется.</w:t>
      </w:r>
    </w:p>
    <w:p>
      <w:pPr>
        <w:spacing w:line="360" w:lineRule="auto"/>
        <w:ind w:firstLine="709"/>
        <w:jc w:val="both"/>
      </w:pPr>
      <w:r>
        <w:t>Каталог может не дать три допустимые альтернативы, требуемые FR-07: в таком случае прототип честно показывает доступное количество или отсутствие вариантов. Условие «не менее трёх» требует расширения каталога и не объявляется выполненным для любого ввода.</w:t>
      </w:r>
    </w:p>
    <w:p>
      <w:pPr>
        <w:spacing w:line="276" w:lineRule="auto" w:after="10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См. рисунок 4 - Альтернативный сценарий замены блюда (приложение А).</w:t>
      </w:r>
    </w:p>
    <w:p>
      <w:pPr>
        <w:pStyle w:val="2"/>
      </w:pPr>
      <w:r>
        <w:t>3.4 Исключительный сценарий</w:t>
      </w:r>
    </w:p>
    <w:p>
      <w:pPr>
        <w:spacing w:line="360" w:lineRule="auto"/>
        <w:ind w:firstLine="709"/>
        <w:jc w:val="both"/>
      </w:pPr>
      <w:r>
        <w:t>Кнопка проверки сбоя моделирует отказ источника цен. Адаптер выбрасывает PriceSourceUnavailable, API возвращает 503 с кодом PRICE_SOURCE_UNAVAILABLE. Данные предложений не изменяются. Интерфейс оставляет прежние суммы и показывает понятное сообщение. Это воспроизводимый учебный сценарий, а не сообщение о реальном отказе сети магазина.</w:t>
      </w:r>
    </w:p>
    <w:p>
      <w:pPr>
        <w:spacing w:line="360" w:lineRule="auto"/>
        <w:ind w:firstLine="709"/>
        <w:jc w:val="both"/>
      </w:pPr>
      <w:r>
        <w:t>Ошибки ввода возвращаются с кодом 422 и словарём полей. Если при заданных исключениях не хватает рецептов, прежний план сохраняется. Приложение не снимает ограничения, не заполняет неизвестные цены нулями и не заменяет рецепт без подтверждения.</w:t>
      </w:r>
    </w:p>
    <w:p>
      <w:pPr>
        <w:spacing w:line="276" w:lineRule="auto" w:after="10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См. рисунок 5 - Сценарий ошибки источника цен (приложение А).</w:t>
      </w:r>
    </w:p>
    <w:p>
      <w:pPr>
        <w:pStyle w:val="2"/>
      </w:pPr>
      <w:r>
        <w:t>3.5 Предварительные экранные формы</w:t>
      </w:r>
    </w:p>
    <w:p>
      <w:pPr>
        <w:spacing w:line="360" w:lineRule="auto"/>
        <w:ind w:firstLine="709"/>
        <w:jc w:val="both"/>
      </w:pPr>
      <w:r>
        <w:t>До программирования агент подготовил схему пяти экранов. Фазлыев А. А. подтвердил их состав в чате 25.10.2026. Схемы и первый обзор сохранены коммитом 6249f18 до реализации.</w:t>
      </w:r>
    </w:p>
    <w:p>
      <w:pPr>
        <w:spacing w:line="276" w:lineRule="auto" w:after="10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См. рисунок 6 - Предварительные экранные формы (приложение А).</w:t>
      </w:r>
    </w:p>
    <w:p>
      <w:pPr>
        <w:spacing w:line="360" w:lineRule="auto"/>
        <w:ind w:firstLine="709"/>
        <w:jc w:val="both"/>
      </w:pPr>
      <w:r>
        <w:t>Настройки, меню, рецепт с заменой, список и корзины образуют основной сценарий. Вход и регистрация — вспомогательная форма перед ним. На малой ширине навигация и карточки перестраиваются.</w:t>
      </w:r>
    </w:p>
    <w:p>
      <w:pPr>
        <w:pStyle w:val="1"/>
        <w:pageBreakBefore/>
      </w:pPr>
      <w:r>
        <w:t>4 Модель данных</w:t>
      </w:r>
    </w:p>
    <w:p>
      <w:pPr>
        <w:spacing w:line="360" w:lineRule="auto"/>
        <w:ind w:firstLine="709"/>
        <w:jc w:val="both"/>
      </w:pPr>
      <w:r>
        <w:t>Схема хранения приведена в prototype/schema.sql. Для каждого соединения включаются внешние ключи. Идентификаторы предметных сущностей — UUID или стабильные идентификаторы каталога. Деньги хранятся целым числом копеек. Даты предложений и создания — строки ISO 8601 с часовым поясом; начало меню — календарная дата.</w:t>
      </w:r>
    </w:p>
    <w:p>
      <w:pPr>
        <w:spacing w:line="276" w:lineRule="auto" w:after="10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См. рисунок 7 - ER-модель прототипа (приложение А).</w:t>
      </w:r>
    </w:p>
    <w:p>
      <w:pPr>
        <w:keepNext/>
      </w:pPr>
      <w:r>
        <w:rPr>
          <w:rFonts w:ascii="Times New Roman" w:hAnsi="Times New Roman"/>
          <w:b w:val="0"/>
          <w:color w:val="000000"/>
          <w:sz w:val="24"/>
        </w:rPr>
        <w:t>Таблица 2</w:t>
      </w:r>
    </w:p>
    <w:tbl>
      <w:tblPr>
        <w:tblStyle w:val="ae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3458"/>
        <w:gridCol w:w="3515"/>
      </w:tblGrid>
      <w:tr>
        <w:trPr>
          <w:cantSplit/>
          <w:tblHeader/>
        </w:trPr>
        <w:tc>
          <w:tcPr>
            <w:tcW w:type="dxa" w:w="2381"/>
          </w:tcPr>
          <w:p>
            <w:pPr>
              <w:spacing w:line="252" w:lineRule="auto" w:after="60" w:before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Сущность</w:t>
            </w:r>
          </w:p>
        </w:tc>
        <w:tc>
          <w:tcPr>
            <w:tcW w:type="dxa" w:w="3458"/>
          </w:tcPr>
          <w:p>
            <w:pPr>
              <w:spacing w:line="252" w:lineRule="auto" w:after="60" w:before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Первичный ключ</w:t>
            </w:r>
          </w:p>
        </w:tc>
        <w:tc>
          <w:tcPr>
            <w:tcW w:type="dxa" w:w="3515"/>
          </w:tcPr>
          <w:p>
            <w:pPr>
              <w:spacing w:line="252" w:lineRule="auto" w:after="60" w:before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Связи и ограничения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users</w:t>
            </w:r>
          </w:p>
        </w:tc>
        <w:tc>
          <w:tcPr>
            <w:tcW w:type="dxa" w:w="345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id</w:t>
            </w:r>
          </w:p>
        </w:tc>
        <w:tc>
          <w:tcPr>
            <w:tcW w:type="dxa" w:w="3515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email уникален; одна учётная запись имеет множество сессий и планов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sessions</w:t>
            </w:r>
          </w:p>
        </w:tc>
        <w:tc>
          <w:tcPr>
            <w:tcW w:type="dxa" w:w="345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token_hash</w:t>
            </w:r>
          </w:p>
        </w:tc>
        <w:tc>
          <w:tcPr>
            <w:tcW w:type="dxa" w:w="3515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user_id → users; срок действия сессии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login_attempts</w:t>
            </w:r>
          </w:p>
        </w:tc>
        <w:tc>
          <w:tcPr>
            <w:tcW w:type="dxa" w:w="345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email, attempted_at</w:t>
            </w:r>
          </w:p>
        </w:tc>
        <w:tc>
          <w:tcPr>
            <w:tcW w:type="dxa" w:w="3515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Журнал включает и неизвестные email, поэтому FK к users отсутствует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profiles</w:t>
            </w:r>
          </w:p>
        </w:tc>
        <w:tc>
          <w:tcPr>
            <w:tcW w:type="dxa" w:w="345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user_id</w:t>
            </w:r>
          </w:p>
        </w:tc>
        <w:tc>
          <w:tcPr>
            <w:tcW w:type="dxa" w:w="3515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PK одновременно FK к users; не более одного текущего набора настроек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plans</w:t>
            </w:r>
          </w:p>
        </w:tc>
        <w:tc>
          <w:tcPr>
            <w:tcW w:type="dxa" w:w="345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id</w:t>
            </w:r>
          </w:p>
        </w:tc>
        <w:tc>
          <w:tcPr>
            <w:tcW w:type="dxa" w:w="3515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user_id → users; снимок настроек и даты периода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plan_items</w:t>
            </w:r>
          </w:p>
        </w:tc>
        <w:tc>
          <w:tcPr>
            <w:tcW w:type="dxa" w:w="345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id</w:t>
            </w:r>
          </w:p>
        </w:tc>
        <w:tc>
          <w:tcPr>
            <w:tcW w:type="dxa" w:w="3515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plan_id → plans, recipe_id → recipes; уникальна тройка plan_id, day, slot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recipes</w:t>
            </w:r>
          </w:p>
        </w:tc>
        <w:tc>
          <w:tcPr>
            <w:tcW w:type="dxa" w:w="345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id</w:t>
            </w:r>
          </w:p>
        </w:tc>
        <w:tc>
          <w:tcPr>
            <w:tcW w:type="dxa" w:w="3515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Ингредиенты и шаги — JSON, состав хранится на базовую порцию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ingredients</w:t>
            </w:r>
          </w:p>
        </w:tc>
        <w:tc>
          <w:tcPr>
            <w:tcW w:type="dxa" w:w="345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id</w:t>
            </w:r>
          </w:p>
        </w:tc>
        <w:tc>
          <w:tcPr>
            <w:tcW w:type="dxa" w:w="3515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Название, категория, единица, КБЖУ, метки аллергенов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stores</w:t>
            </w:r>
          </w:p>
        </w:tc>
        <w:tc>
          <w:tcPr>
            <w:tcW w:type="dxa" w:w="345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id</w:t>
            </w:r>
          </w:p>
        </w:tc>
        <w:tc>
          <w:tcPr>
            <w:tcW w:type="dxa" w:w="3515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Справочник пяти сетей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offers</w:t>
            </w:r>
          </w:p>
        </w:tc>
        <w:tc>
          <w:tcPr>
            <w:tcW w:type="dxa" w:w="345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id</w:t>
            </w:r>
          </w:p>
        </w:tc>
        <w:tc>
          <w:tcPr>
            <w:tcW w:type="dxa" w:w="3515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store_id → stores, ingredient_id → ingredients; фасовка, цена, наличие, дата, источник, город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pantry</w:t>
            </w:r>
          </w:p>
        </w:tc>
        <w:tc>
          <w:tcPr>
            <w:tcW w:type="dxa" w:w="345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user_id, ingredient_id</w:t>
            </w:r>
          </w:p>
        </w:tc>
        <w:tc>
          <w:tcPr>
            <w:tcW w:type="dxa" w:w="3515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FK к users и ingredients; домашнее количество и отметка покупки</w:t>
            </w:r>
          </w:p>
        </w:tc>
      </w:tr>
    </w:tbl>
    <w:p>
      <w:pPr>
        <w:spacing w:after="60"/>
      </w:pPr>
    </w:p>
    <w:p>
      <w:pPr>
        <w:spacing w:line="360" w:lineRule="auto"/>
        <w:ind w:firstLine="709"/>
        <w:jc w:val="both"/>
      </w:pPr>
      <w:r>
        <w:t>В рецептах ingredients_json содержит ссылки на идентификаторы ингредиентов. На ER-схеме эта связь показана пунктиром, поскольку SQL не обеспечивает для неё внешний ключ. Каталог фиксирован и загружается из согласованного набора catalog.py. Перед вводом редактируемых рецептов потребуется нормализованная таблица recipe_ingredients и миграция данных. Это известный компромисс прототипа, а не заявленная реляционная целостность JSON.</w:t>
      </w:r>
    </w:p>
    <w:p>
      <w:pPr>
        <w:spacing w:line="360" w:lineRule="auto"/>
        <w:ind w:firstLine="709"/>
        <w:jc w:val="both"/>
      </w:pPr>
      <w:r>
        <w:t>У pantry отметка покупки пока относится к продукту пользователя, а не к отдельной закупке: она переносится на новый план. Это удобно для демонстрации сохранения, но перед рабочим выпуском нужна сущность shopping_list_item с отметкой в пределах конкретной закупки.</w:t>
      </w:r>
    </w:p>
    <w:p>
      <w:pPr>
        <w:pStyle w:val="1"/>
        <w:pageBreakBefore/>
      </w:pPr>
      <w:r>
        <w:t>5 Программные интерфейсы</w:t>
      </w:r>
    </w:p>
    <w:p>
      <w:pPr>
        <w:pStyle w:val="2"/>
      </w:pPr>
      <w:r>
        <w:t>5.1 Общие правила</w:t>
      </w:r>
    </w:p>
    <w:p>
      <w:pPr>
        <w:spacing w:line="360" w:lineRule="auto"/>
        <w:ind w:firstLine="709"/>
        <w:jc w:val="both"/>
      </w:pPr>
      <w:r>
        <w:t>API доступен по пути /api. Формат запросов и ответов — application/json, UTF-8. После входа браузер получает HttpOnly cookie session с SameSite=Strict. На сервере хранится SHA-256 токена, а не сам токен. Наличие авторизации проверяется до чтения пользовательского плана; чужая позиция не возвращается и не заменяется.</w:t>
      </w:r>
    </w:p>
    <w:p>
      <w:pPr>
        <w:spacing w:line="360" w:lineRule="auto"/>
        <w:ind w:firstLine="709"/>
        <w:jc w:val="both"/>
      </w:pPr>
      <w:r>
        <w:t>Коды ответов: 200 — успешное чтение или изменение; 201 — создан план; 401 — нет сессии или неверные данные входа; 403 — недопустимый Origin; 404 — ресурс не найден; 422 — ошибка полей или невыполнимые ограничения; 429 — превышен лимит попыток входа; 503 — отказ источника цен. Ответ об ошибке имеет поле error, а при ошибке ввода — fields. Тела запросов ограничены 64 КиБ. Пароли и тела запросов не записываются в журнал.</w:t>
      </w:r>
    </w:p>
    <w:p>
      <w:pPr>
        <w:pStyle w:val="2"/>
      </w:pPr>
      <w:r>
        <w:t>5.2 HTTP контракты</w:t>
      </w:r>
    </w:p>
    <w:p>
      <w:pPr>
        <w:keepNext/>
      </w:pPr>
      <w:r>
        <w:rPr>
          <w:rFonts w:ascii="Times New Roman" w:hAnsi="Times New Roman"/>
          <w:b w:val="0"/>
          <w:color w:val="000000"/>
          <w:sz w:val="24"/>
        </w:rPr>
        <w:t>Таблица 3</w:t>
      </w:r>
    </w:p>
    <w:tbl>
      <w:tblPr>
        <w:tblStyle w:val="ae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3458"/>
        <w:gridCol w:w="3515"/>
      </w:tblGrid>
      <w:tr>
        <w:trPr>
          <w:cantSplit/>
          <w:tblHeader/>
        </w:trPr>
        <w:tc>
          <w:tcPr>
            <w:tcW w:type="dxa" w:w="2381"/>
          </w:tcPr>
          <w:p>
            <w:pPr>
              <w:spacing w:line="252" w:lineRule="auto" w:after="60" w:before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Метод и маршрут</w:t>
            </w:r>
          </w:p>
        </w:tc>
        <w:tc>
          <w:tcPr>
            <w:tcW w:type="dxa" w:w="3458"/>
          </w:tcPr>
          <w:p>
            <w:pPr>
              <w:spacing w:line="252" w:lineRule="auto" w:after="60" w:before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Вход</w:t>
            </w:r>
          </w:p>
        </w:tc>
        <w:tc>
          <w:tcPr>
            <w:tcW w:type="dxa" w:w="3515"/>
          </w:tcPr>
          <w:p>
            <w:pPr>
              <w:spacing w:line="252" w:lineRule="auto" w:after="60" w:before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GET /api/session</w:t>
            </w:r>
          </w:p>
        </w:tc>
        <w:tc>
          <w:tcPr>
            <w:tcW w:type="dxa" w:w="345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Cookie, если есть</w:t>
            </w:r>
          </w:p>
        </w:tc>
        <w:tc>
          <w:tcPr>
            <w:tcW w:type="dxa" w:w="3515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authenticated и email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POST /api/auth/register</w:t>
            </w:r>
          </w:p>
        </w:tc>
        <w:tc>
          <w:tcPr>
            <w:tcW w:type="dxa" w:w="345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email, password</w:t>
            </w:r>
          </w:p>
        </w:tc>
        <w:tc>
          <w:tcPr>
            <w:tcW w:type="dxa" w:w="3515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Создание учётной записи, cookie; 422 при занятом email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POST /api/auth/login</w:t>
            </w:r>
          </w:p>
        </w:tc>
        <w:tc>
          <w:tcPr>
            <w:tcW w:type="dxa" w:w="345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email, password</w:t>
            </w:r>
          </w:p>
        </w:tc>
        <w:tc>
          <w:tcPr>
            <w:tcW w:type="dxa" w:w="3515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Cookie; 401 при неверном пароле, 429 после пяти ошибок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POST /api/auth/demo</w:t>
            </w:r>
          </w:p>
        </w:tc>
        <w:tc>
          <w:tcPr>
            <w:tcW w:type="dxa" w:w="345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Пустой объект</w:t>
            </w:r>
          </w:p>
        </w:tc>
        <w:tc>
          <w:tcPr>
            <w:tcW w:type="dxa" w:w="3515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Отдельная демонстрационная учётная запись без пароля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POST /api/auth/logout</w:t>
            </w:r>
          </w:p>
        </w:tc>
        <w:tc>
          <w:tcPr>
            <w:tcW w:type="dxa" w:w="345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Пустой объект</w:t>
            </w:r>
          </w:p>
        </w:tc>
        <w:tc>
          <w:tcPr>
            <w:tcW w:type="dxa" w:w="3515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Удаление сессии и cookie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GET /api/state</w:t>
            </w:r>
          </w:p>
        </w:tc>
        <w:tc>
          <w:tcPr>
            <w:tcW w:type="dxa" w:w="345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Сессия</w:t>
            </w:r>
          </w:p>
        </w:tc>
        <w:tc>
          <w:tcPr>
            <w:tcW w:type="dxa" w:w="3515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Профиль, каталог, текущий план, список и корзины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POST /api/plan</w:t>
            </w:r>
          </w:p>
        </w:tc>
        <w:tc>
          <w:tcPr>
            <w:tcW w:type="dxa" w:w="345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Объект настроек</w:t>
            </w:r>
          </w:p>
        </w:tc>
        <w:tc>
          <w:tcPr>
            <w:tcW w:type="dxa" w:w="3515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201 и согласованный снимок нового плана; 422 при неверном вводе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GET /api/alternatives?item_id=…</w:t>
            </w:r>
          </w:p>
        </w:tc>
        <w:tc>
          <w:tcPr>
            <w:tcW w:type="dxa" w:w="345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ID позиции своего плана</w:t>
            </w:r>
          </w:p>
        </w:tc>
        <w:tc>
          <w:tcPr>
            <w:tcW w:type="dxa" w:w="3515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Массив допустимых рецептов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POST /api/replace</w:t>
            </w:r>
          </w:p>
        </w:tc>
        <w:tc>
          <w:tcPr>
            <w:tcW w:type="dxa" w:w="345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item_id, recipe_id</w:t>
            </w:r>
          </w:p>
        </w:tc>
        <w:tc>
          <w:tcPr>
            <w:tcW w:type="dxa" w:w="3515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Изменение одной позиции и пересчитанный снимок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PUT /api/pantry</w:t>
            </w:r>
          </w:p>
        </w:tc>
        <w:tc>
          <w:tcPr>
            <w:tcW w:type="dxa" w:w="345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ingredient_id, amount, purchased</w:t>
            </w:r>
          </w:p>
        </w:tc>
        <w:tc>
          <w:tcPr>
            <w:tcW w:type="dxa" w:w="3515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Сохранённый запас и пересчитанный снимок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POST /api/prices/refresh</w:t>
            </w:r>
          </w:p>
        </w:tc>
        <w:tc>
          <w:tcPr>
            <w:tcW w:type="dxa" w:w="345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simulate_failure: boolean</w:t>
            </w:r>
          </w:p>
        </w:tc>
        <w:tc>
          <w:tcPr>
            <w:tcW w:type="dxa" w:w="3515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Новый снимок или 503; прежние цены при отказе сохранены</w:t>
            </w:r>
          </w:p>
        </w:tc>
      </w:tr>
    </w:tbl>
    <w:p>
      <w:pPr>
        <w:spacing w:after="60"/>
      </w:pPr>
    </w:p>
    <w:p>
      <w:pPr>
        <w:spacing w:line="360" w:lineRule="auto"/>
        <w:ind w:firstLine="709"/>
        <w:jc w:val="both"/>
      </w:pPr>
      <w:r>
        <w:t>Пример запроса составления меню:</w:t>
      </w:r>
    </w:p>
    <w:p>
      <w:pPr>
        <w:spacing w:line="240" w:lineRule="auto" w:after="40"/>
      </w:pPr>
      <w:r>
        <w:rPr>
          <w:rFonts w:ascii="Consolas" w:hAnsi="Consolas"/>
          <w:sz w:val="18"/>
        </w:rPr>
        <w:t>{"age":30,"sex":"male","height":180,"weight":80,</w:t>
      </w:r>
    </w:p>
    <w:p>
      <w:pPr>
        <w:spacing w:line="240" w:lineRule="auto" w:after="40"/>
      </w:pPr>
      <w:r>
        <w:rPr>
          <w:rFonts w:ascii="Consolas" w:hAnsi="Consolas"/>
          <w:sz w:val="18"/>
        </w:rPr>
        <w:t>"activity":1.55,"goal":"lose","days":7,"meals":3,</w:t>
      </w:r>
    </w:p>
    <w:p>
      <w:pPr>
        <w:spacing w:line="240" w:lineRule="auto" w:after="40"/>
      </w:pPr>
      <w:r>
        <w:rPr>
          <w:rFonts w:ascii="Consolas" w:hAnsi="Consolas"/>
          <w:sz w:val="18"/>
        </w:rPr>
        <w:t>"budget":3500,"minutes":30,"repeat":2,</w:t>
      </w:r>
    </w:p>
    <w:p>
      <w:pPr>
        <w:spacing w:line="240" w:lineRule="auto" w:after="40"/>
      </w:pPr>
      <w:r>
        <w:rPr>
          <w:rFonts w:ascii="Consolas" w:hAnsi="Consolas"/>
          <w:sz w:val="18"/>
        </w:rPr>
        <w:t>"start_date":"2026-10-26","allergens":["арахис"],"excluded":[]}</w:t>
      </w:r>
    </w:p>
    <w:p>
      <w:pPr>
        <w:spacing w:line="360" w:lineRule="auto"/>
        <w:ind w:firstLine="709"/>
        <w:jc w:val="both"/>
      </w:pPr>
      <w:r>
        <w:t>Пример ошибки валидации:</w:t>
      </w:r>
    </w:p>
    <w:p>
      <w:pPr>
        <w:spacing w:line="240" w:lineRule="auto" w:after="40"/>
      </w:pPr>
      <w:r>
        <w:rPr>
          <w:rFonts w:ascii="Consolas" w:hAnsi="Consolas"/>
          <w:sz w:val="18"/>
        </w:rPr>
        <w:t>{"error":"Проверьте настройки",</w:t>
      </w:r>
    </w:p>
    <w:p>
      <w:pPr>
        <w:spacing w:line="240" w:lineRule="auto" w:after="40"/>
      </w:pPr>
      <w:r>
        <w:rPr>
          <w:rFonts w:ascii="Consolas" w:hAnsi="Consolas"/>
          <w:sz w:val="18"/>
        </w:rPr>
        <w:t>"fields":{"days":"Введите число от 7 до 31"}}</w:t>
      </w:r>
    </w:p>
    <w:p>
      <w:pPr>
        <w:spacing w:line="360" w:lineRule="auto"/>
        <w:ind w:firstLine="709"/>
        <w:jc w:val="both"/>
      </w:pPr>
      <w:r>
        <w:t>Пример строки расчёта предложения: ingredient_id = rice, needed = 600 г, pack_size = 500 г, price_kopecks = 10000. Результат: packs = 2, cost_kopecks = 20000, leftover = 400 г. Остаток считается относительно количества, которое нужно купить после вычета запасов.</w:t>
      </w:r>
    </w:p>
    <w:p>
      <w:pPr>
        <w:pStyle w:val="2"/>
      </w:pPr>
      <w:r>
        <w:t>5.3 Внутренние контракты</w:t>
      </w:r>
    </w:p>
    <w:p>
      <w:pPr>
        <w:spacing w:line="240" w:lineRule="auto" w:after="40"/>
      </w:pPr>
      <w:r>
        <w:rPr>
          <w:rFonts w:ascii="Consolas" w:hAnsi="Consolas"/>
          <w:sz w:val="18"/>
        </w:rPr>
        <w:t>validate_settings(data: dict) -&gt; dict</w:t>
      </w:r>
    </w:p>
    <w:p>
      <w:pPr>
        <w:spacing w:line="240" w:lineRule="auto" w:after="40"/>
      </w:pPr>
      <w:r>
        <w:rPr>
          <w:rFonts w:ascii="Consolas" w:hAnsi="Consolas"/>
          <w:sz w:val="18"/>
        </w:rPr>
        <w:t>generate_plan(settings: dict, recipes: dict, ingredients: dict) -&gt; list[dict]</w:t>
      </w:r>
    </w:p>
    <w:p>
      <w:pPr>
        <w:spacing w:line="240" w:lineRule="auto" w:after="40"/>
      </w:pPr>
      <w:r>
        <w:rPr>
          <w:rFonts w:ascii="Consolas" w:hAnsi="Consolas"/>
          <w:sz w:val="18"/>
        </w:rPr>
        <w:t>nutrition(recipe: dict, ingredients: dict, scale: float = 1) -&gt; dict</w:t>
      </w:r>
    </w:p>
    <w:p>
      <w:pPr>
        <w:spacing w:line="240" w:lineRule="auto" w:after="40"/>
      </w:pPr>
      <w:r>
        <w:rPr>
          <w:rFonts w:ascii="Consolas" w:hAnsi="Consolas"/>
          <w:sz w:val="18"/>
        </w:rPr>
        <w:t>shopping(items: list, recipes: dict, ingredients: dict, pantry: dict) -&gt; list[dict]</w:t>
      </w:r>
    </w:p>
    <w:p>
      <w:pPr>
        <w:spacing w:line="240" w:lineRule="auto" w:after="40"/>
      </w:pPr>
      <w:r>
        <w:rPr>
          <w:rFonts w:ascii="Consolas" w:hAnsi="Consolas"/>
          <w:sz w:val="18"/>
        </w:rPr>
        <w:t>calculate_baskets(lines: list, stores: list, offers: list, budget: float) -&gt; dict</w:t>
      </w:r>
    </w:p>
    <w:p>
      <w:pPr>
        <w:spacing w:line="240" w:lineRule="auto" w:after="40"/>
      </w:pPr>
      <w:r>
        <w:rPr>
          <w:rFonts w:ascii="Consolas" w:hAnsi="Consolas"/>
          <w:sz w:val="18"/>
        </w:rPr>
        <w:t>DemoPriceProvider.read(db) -&gt; list[dict]</w:t>
      </w:r>
    </w:p>
    <w:p>
      <w:pPr>
        <w:spacing w:line="240" w:lineRule="auto" w:after="40"/>
      </w:pPr>
      <w:r>
        <w:rPr>
          <w:rFonts w:ascii="Consolas" w:hAnsi="Consolas"/>
          <w:sz w:val="18"/>
        </w:rPr>
        <w:t>DemoPriceProvider.refresh(db, simulate_failure: bool = False) -&gt; None</w:t>
      </w:r>
    </w:p>
    <w:p>
      <w:pPr>
        <w:spacing w:line="360" w:lineRule="auto"/>
        <w:ind w:firstLine="709"/>
        <w:jc w:val="both"/>
      </w:pPr>
      <w:r>
        <w:t>Это контракты документации; функции Python не везде содержат аннотации типов в исходнике. validate_settings нормализует значения и возвращает target с калориями и БЖУ. generate_plan возвращает позиции day, slot, recipe_id, scale или выбрасывает DomainError. shopping возвращает required, at_home, needed, purchased и единицу. calculate_baskets возвращает baskets, recommended и saving_kopecks. Адаптер цен при отказе выбрасывает PriceSourceUnavailable до изменения базы.</w:t>
      </w:r>
    </w:p>
    <w:p>
      <w:pPr>
        <w:pStyle w:val="1"/>
        <w:pageBreakBefore/>
      </w:pPr>
      <w:r>
        <w:t>6 Архитектурные решения</w:t>
      </w:r>
    </w:p>
    <w:p>
      <w:pPr>
        <w:spacing w:line="360" w:lineRule="auto"/>
        <w:ind w:firstLine="709"/>
        <w:jc w:val="both"/>
      </w:pPr>
      <w:r>
        <w:t>Приняты пять ADR: архитектурный стиль, хранение, детерминированные расчёты, изоляция источника цен и безопасность учётных записей. Каждый документ содержит контекст с FR/NFR, альтернативы, решение, последствия и фактическую роль агента. Полные тексты включены далее; отдельные файлы находятся в docs/lab2/adr/.</w:t>
      </w:r>
    </w:p>
    <w:p>
      <w:pPr>
        <w:pStyle w:val="2"/>
        <w:pageBreakBefore w:val="0"/>
        <w:spacing w:line="288" w:lineRule="auto" w:before="160" w:after="80"/>
      </w:pPr>
      <w:r>
        <w:rPr>
          <w:rFonts w:ascii="Times New Roman" w:hAnsi="Times New Roman"/>
          <w:b/>
          <w:color w:val="000000"/>
          <w:sz w:val="28"/>
        </w:rPr>
        <w:t>ADR-001: Модульный монолит с браузерным интерфейсом</w:t>
      </w:r>
    </w:p>
    <w:p>
      <w:pPr>
        <w:pStyle w:val="2"/>
        <w:spacing w:line="288" w:lineRule="auto" w:before="80" w:after="40"/>
      </w:pPr>
      <w:r>
        <w:rPr>
          <w:rFonts w:ascii="Times New Roman" w:hAnsi="Times New Roman"/>
          <w:b/>
          <w:color w:val="000000"/>
          <w:sz w:val="24"/>
        </w:rPr>
        <w:t>Статус</w:t>
      </w:r>
    </w:p>
    <w:p>
      <w:pPr>
        <w:spacing w:line="288" w:lineRule="auto" w:after="4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Принято</w:t>
      </w:r>
    </w:p>
    <w:p>
      <w:pPr>
        <w:pStyle w:val="2"/>
        <w:spacing w:line="288" w:lineRule="auto" w:before="80" w:after="40"/>
      </w:pPr>
      <w:r>
        <w:rPr>
          <w:rFonts w:ascii="Times New Roman" w:hAnsi="Times New Roman"/>
          <w:b/>
          <w:color w:val="000000"/>
          <w:sz w:val="24"/>
        </w:rPr>
        <w:t>Контекст</w:t>
      </w:r>
    </w:p>
    <w:p>
      <w:pPr>
        <w:spacing w:line="288" w:lineRule="auto" w:after="4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FR-05–15 связывают меню, список и стоимость. Изменение блюда должно согласованно пересчитывать производные данные. FR-01 требует входа и сохранения данных пользователя, NFR-05 — браузерного интерфейса на нескольких ширинах. Команде нужен запускаемый срез без отдельной инфраструктуры для каждого компонента.</w:t>
      </w:r>
    </w:p>
    <w:p>
      <w:pPr>
        <w:pStyle w:val="2"/>
        <w:spacing w:line="288" w:lineRule="auto" w:before="80" w:after="40"/>
      </w:pPr>
      <w:r>
        <w:rPr>
          <w:rFonts w:ascii="Times New Roman" w:hAnsi="Times New Roman"/>
          <w:b/>
          <w:color w:val="000000"/>
          <w:sz w:val="24"/>
        </w:rPr>
        <w:t>Рассмотренные альтернативы</w:t>
      </w:r>
    </w:p>
    <w:p>
      <w:pPr>
        <w:spacing w:line="288" w:lineRule="auto" w:after="4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1. Микросервисы: дают независимое развёртывание, но для первого среза добавляют сетевые отказы, отдельные конфигурации и сложность транзакций.</w:t>
      </w:r>
    </w:p>
    <w:p>
      <w:pPr>
        <w:spacing w:line="288" w:lineRule="auto" w:after="4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2. Полностью клиентское приложение: проще запуск, однако хранение только в браузере не обеспечивает данные учётной записи при входе из другой сессии на сервере.</w:t>
      </w:r>
    </w:p>
    <w:p>
      <w:pPr>
        <w:spacing w:line="288" w:lineRule="auto" w:after="4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3. Desktop-приложение: удобно локально, но требует упаковки под платформы и расходится с браузерным направлением исходной презентации.</w:t>
      </w:r>
    </w:p>
    <w:p>
      <w:pPr>
        <w:pStyle w:val="2"/>
        <w:spacing w:line="288" w:lineRule="auto" w:before="80" w:after="40"/>
      </w:pPr>
      <w:r>
        <w:rPr>
          <w:rFonts w:ascii="Times New Roman" w:hAnsi="Times New Roman"/>
          <w:b/>
          <w:color w:val="000000"/>
          <w:sz w:val="24"/>
        </w:rPr>
        <w:t>Принятое решение</w:t>
      </w:r>
    </w:p>
    <w:p>
      <w:pPr>
        <w:spacing w:line="288" w:lineRule="auto" w:after="4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Один Python-процесс отдаёт статический HTML/CSS/JavaScript и HTTP API. Вычисления вынесены в domain.py, источник цен — в prices.py; транспорт и SQL пока находятся в server.py. В браузере нет второго независимого механизма расчёта корзины: он отображает согласованный снимок сервера.</w:t>
      </w:r>
    </w:p>
    <w:p>
      <w:pPr>
        <w:pStyle w:val="2"/>
        <w:spacing w:line="288" w:lineRule="auto" w:before="80" w:after="40"/>
      </w:pPr>
      <w:r>
        <w:rPr>
          <w:rFonts w:ascii="Times New Roman" w:hAnsi="Times New Roman"/>
          <w:b/>
          <w:color w:val="000000"/>
          <w:sz w:val="24"/>
        </w:rPr>
        <w:t>Последствия</w:t>
      </w:r>
    </w:p>
    <w:p>
      <w:pPr>
        <w:spacing w:line="288" w:lineRule="auto" w:after="4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Упрощаются запуск, отладка и транзакционная запись плана. Усложняется дальнейшее выделение авторизации и хранения из HTTP-обработчика. Риск — рост server.py при добавлении функций; границы уже заданы контрактами. Стандартный HTTP-сервер годится для локальной демонстрации, но требует замены или production-обвязки при публикации.</w:t>
      </w:r>
    </w:p>
    <w:p>
      <w:pPr>
        <w:pStyle w:val="2"/>
        <w:spacing w:line="288" w:lineRule="auto" w:before="80" w:after="40"/>
      </w:pPr>
      <w:r>
        <w:rPr>
          <w:rFonts w:ascii="Times New Roman" w:hAnsi="Times New Roman"/>
          <w:b/>
          <w:color w:val="000000"/>
          <w:sz w:val="24"/>
        </w:rPr>
        <w:t>Роль агента</w:t>
      </w:r>
    </w:p>
    <w:p>
      <w:pPr>
        <w:spacing w:line="288" w:lineRule="auto" w:after="4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Агент предложил серверное хранение после проверки FR-01 сданной ЛР1 и выбрал небольшой модульный монолит. Пользователь подтвердил набор экранов до программирования и уточнил аудиторию. Выбор конкретной серверной реализации выполнен агентом в рамках порученной разработки; отдельное сравнение технологий пользователем не приписывается.</w:t>
      </w:r>
    </w:p>
    <w:p>
      <w:pPr>
        <w:pStyle w:val="2"/>
        <w:pageBreakBefore/>
        <w:spacing w:line="288" w:lineRule="auto" w:before="160" w:after="80"/>
      </w:pPr>
      <w:r>
        <w:rPr>
          <w:rFonts w:ascii="Times New Roman" w:hAnsi="Times New Roman"/>
          <w:b/>
          <w:color w:val="000000"/>
          <w:sz w:val="28"/>
        </w:rPr>
        <w:t>ADR-002: Серверная SQLite и снимок настроек плана</w:t>
      </w:r>
    </w:p>
    <w:p>
      <w:pPr>
        <w:pStyle w:val="2"/>
        <w:spacing w:line="288" w:lineRule="auto" w:before="80" w:after="40"/>
      </w:pPr>
      <w:r>
        <w:rPr>
          <w:rFonts w:ascii="Times New Roman" w:hAnsi="Times New Roman"/>
          <w:b/>
          <w:color w:val="000000"/>
          <w:sz w:val="24"/>
        </w:rPr>
        <w:t>Статус</w:t>
      </w:r>
    </w:p>
    <w:p>
      <w:pPr>
        <w:spacing w:line="288" w:lineRule="auto" w:after="4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Принято</w:t>
      </w:r>
    </w:p>
    <w:p>
      <w:pPr>
        <w:pStyle w:val="2"/>
        <w:spacing w:line="288" w:lineRule="auto" w:before="80" w:after="40"/>
      </w:pPr>
      <w:r>
        <w:rPr>
          <w:rFonts w:ascii="Times New Roman" w:hAnsi="Times New Roman"/>
          <w:b/>
          <w:color w:val="000000"/>
          <w:sz w:val="24"/>
        </w:rPr>
        <w:t>Контекст</w:t>
      </w:r>
    </w:p>
    <w:p>
      <w:pPr>
        <w:spacing w:line="288" w:lineRule="auto" w:after="4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FR-01 требует сохранить данные учётной записи; FR-10 — запасы после повторного входа; FR-05 и FR-07 — целостное меню и замену одной позиции. Нельзя записать половину нового плана и потерять предыдущий при нехватке рецептов.</w:t>
      </w:r>
    </w:p>
    <w:p>
      <w:pPr>
        <w:pStyle w:val="2"/>
        <w:spacing w:line="288" w:lineRule="auto" w:before="80" w:after="40"/>
      </w:pPr>
      <w:r>
        <w:rPr>
          <w:rFonts w:ascii="Times New Roman" w:hAnsi="Times New Roman"/>
          <w:b/>
          <w:color w:val="000000"/>
          <w:sz w:val="24"/>
        </w:rPr>
        <w:t>Рассмотренные альтернативы</w:t>
      </w:r>
    </w:p>
    <w:p>
      <w:pPr>
        <w:spacing w:line="288" w:lineRule="auto" w:after="4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1. PostgreSQL: подходит для многопользовательского развёртывания, но отдельный сервер и настройка избыточны для локальной защиты.</w:t>
      </w:r>
    </w:p>
    <w:p>
      <w:pPr>
        <w:spacing w:line="288" w:lineRule="auto" w:after="4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2. JSON-файл: прозрачен, но потребовал бы ручной координации одновременных записей, уникальности и связей.</w:t>
      </w:r>
    </w:p>
    <w:p>
      <w:pPr>
        <w:spacing w:line="288" w:lineRule="auto" w:after="4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3. localStorage: удобен для черновиков UI, но привязан к конкретному браузерному профилю и не выполняет серверную часть FR-01.</w:t>
      </w:r>
    </w:p>
    <w:p>
      <w:pPr>
        <w:pStyle w:val="2"/>
        <w:spacing w:line="288" w:lineRule="auto" w:before="80" w:after="40"/>
      </w:pPr>
      <w:r>
        <w:rPr>
          <w:rFonts w:ascii="Times New Roman" w:hAnsi="Times New Roman"/>
          <w:b/>
          <w:color w:val="000000"/>
          <w:sz w:val="24"/>
        </w:rPr>
        <w:t>Принятое решение</w:t>
      </w:r>
    </w:p>
    <w:p>
      <w:pPr>
        <w:spacing w:line="288" w:lineRule="auto" w:after="4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Использовать SQLite через sqlite3. Включать foreign_keys на каждом соединении, передавать значения через SQL-параметры, закрывать соединения явно. Записывать план и позиции одной транзакцией; сначала полностью рассчитывать допустимое меню в памяти. Сохранять settings_json в плане, чтобы последующие изменения формы не меняли трактовку уже созданного периода. Состав фиксированного рецепта пока хранится в JSON.</w:t>
      </w:r>
    </w:p>
    <w:p>
      <w:pPr>
        <w:pStyle w:val="2"/>
        <w:spacing w:line="288" w:lineRule="auto" w:before="80" w:after="40"/>
      </w:pPr>
      <w:r>
        <w:rPr>
          <w:rFonts w:ascii="Times New Roman" w:hAnsi="Times New Roman"/>
          <w:b/>
          <w:color w:val="000000"/>
          <w:sz w:val="24"/>
        </w:rPr>
        <w:t>Последствия</w:t>
      </w:r>
    </w:p>
    <w:p>
      <w:pPr>
        <w:spacing w:line="288" w:lineRule="auto" w:after="4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Упрощаются резервное копирование и запуск. Усложняются конкурентная запись при росте нагрузки и запросы по JSON-составу. Риск нарушения ссылок внутри JSON ограничен фиксированным каталогом, но не устранён SQL. Перед редактированием каталога нужны нормализация recipe_ingredients и миграции; дальнейшая база не обещана неизменной.</w:t>
      </w:r>
    </w:p>
    <w:p>
      <w:pPr>
        <w:pStyle w:val="2"/>
        <w:spacing w:line="288" w:lineRule="auto" w:before="80" w:after="40"/>
      </w:pPr>
      <w:r>
        <w:rPr>
          <w:rFonts w:ascii="Times New Roman" w:hAnsi="Times New Roman"/>
          <w:b/>
          <w:color w:val="000000"/>
          <w:sz w:val="24"/>
        </w:rPr>
        <w:t>Роль агента</w:t>
      </w:r>
    </w:p>
    <w:p>
      <w:pPr>
        <w:spacing w:line="288" w:lineRule="auto" w:after="4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Агент сформировал ER по фактической схеме, отметил ограничение JSON и добавил API-проверку сохранения предыдущего плана. Тест на Windows обнаружил, что контекст SQLite сам по себе не закрывал соединение; агент ввёл явное закрытие. Пользователь не заявлял эти проверки как выполненные им лично.</w:t>
      </w:r>
    </w:p>
    <w:p>
      <w:pPr>
        <w:pStyle w:val="2"/>
        <w:pageBreakBefore/>
        <w:spacing w:line="288" w:lineRule="auto" w:before="160" w:after="80"/>
      </w:pPr>
      <w:r>
        <w:rPr>
          <w:rFonts w:ascii="Times New Roman" w:hAnsi="Times New Roman"/>
          <w:b/>
          <w:color w:val="000000"/>
          <w:sz w:val="28"/>
        </w:rPr>
        <w:t>ADR-003: Детерминированный расчёт меню и целых упаковок</w:t>
      </w:r>
    </w:p>
    <w:p>
      <w:pPr>
        <w:pStyle w:val="2"/>
        <w:spacing w:line="288" w:lineRule="auto" w:before="80" w:after="40"/>
      </w:pPr>
      <w:r>
        <w:rPr>
          <w:rFonts w:ascii="Times New Roman" w:hAnsi="Times New Roman"/>
          <w:b/>
          <w:color w:val="000000"/>
          <w:sz w:val="24"/>
        </w:rPr>
        <w:t>Статус</w:t>
      </w:r>
    </w:p>
    <w:p>
      <w:pPr>
        <w:spacing w:line="288" w:lineRule="auto" w:after="4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Принято</w:t>
      </w:r>
    </w:p>
    <w:p>
      <w:pPr>
        <w:pStyle w:val="2"/>
        <w:spacing w:line="288" w:lineRule="auto" w:before="80" w:after="40"/>
      </w:pPr>
      <w:r>
        <w:rPr>
          <w:rFonts w:ascii="Times New Roman" w:hAnsi="Times New Roman"/>
          <w:b/>
          <w:color w:val="000000"/>
          <w:sz w:val="24"/>
        </w:rPr>
        <w:t>Контекст</w:t>
      </w:r>
    </w:p>
    <w:p>
      <w:pPr>
        <w:spacing w:line="288" w:lineRule="auto" w:after="4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FR-02 задаёт пример нормы калорий; FR-05 требует ограничений меню; FR-07 — пересчёта после замены; FR-09–13 — списка и целых упаковок; FR-15 — проверки бюджета. В FR-17 уже указано, что числа для анализа должен считать код.</w:t>
      </w:r>
    </w:p>
    <w:p>
      <w:pPr>
        <w:pStyle w:val="2"/>
        <w:spacing w:line="288" w:lineRule="auto" w:before="80" w:after="40"/>
      </w:pPr>
      <w:r>
        <w:rPr>
          <w:rFonts w:ascii="Times New Roman" w:hAnsi="Times New Roman"/>
          <w:b/>
          <w:color w:val="000000"/>
          <w:sz w:val="24"/>
        </w:rPr>
        <w:t>Рассмотренные альтернативы</w:t>
      </w:r>
    </w:p>
    <w:p>
      <w:pPr>
        <w:spacing w:line="288" w:lineRule="auto" w:after="4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1. Расчёт языковой моделью: гибкие объяснения, но недетерминированная арифметика и дополнительные расходы.</w:t>
      </w:r>
    </w:p>
    <w:p>
      <w:pPr>
        <w:spacing w:line="288" w:lineRule="auto" w:after="4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2. Полный математический оптимизатор: может учитывать много ограничений одновременно, но потребовал бы отдельной постановки задачи и усложнил первый срез.</w:t>
      </w:r>
    </w:p>
    <w:p>
      <w:pPr>
        <w:spacing w:line="288" w:lineRule="auto" w:after="4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3. Ручное меню без автоматического подбора: надёжно для демонстрации карточек, но не показывает основной сценарий FR-05.</w:t>
      </w:r>
    </w:p>
    <w:p>
      <w:pPr>
        <w:pStyle w:val="2"/>
        <w:spacing w:line="288" w:lineRule="auto" w:before="80" w:after="40"/>
      </w:pPr>
      <w:r>
        <w:rPr>
          <w:rFonts w:ascii="Times New Roman" w:hAnsi="Times New Roman"/>
          <w:b/>
          <w:color w:val="000000"/>
          <w:sz w:val="24"/>
        </w:rPr>
        <w:t>Принятое решение</w:t>
      </w:r>
    </w:p>
    <w:p>
      <w:pPr>
        <w:spacing w:line="288" w:lineRule="auto" w:after="4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Использовать чистые Python-функции. Кандидаты фильтруются по составу, времени и повторяемости, затем порция масштабируется под энергетическую долю приёма. Список суммирует канонические количества, вычитает запасы. Для каждого предложения количество упаковок равно ceil(потребность / фасовка), стоимость считается целыми копейками. Рекомендуются только полные корзины; экономия сравнивается со следующей полной корзиной.</w:t>
      </w:r>
    </w:p>
    <w:p>
      <w:pPr>
        <w:pStyle w:val="2"/>
        <w:spacing w:line="288" w:lineRule="auto" w:before="80" w:after="40"/>
      </w:pPr>
      <w:r>
        <w:rPr>
          <w:rFonts w:ascii="Times New Roman" w:hAnsi="Times New Roman"/>
          <w:b/>
          <w:color w:val="000000"/>
          <w:sz w:val="24"/>
        </w:rPr>
        <w:t>Последствия</w:t>
      </w:r>
    </w:p>
    <w:p>
      <w:pPr>
        <w:spacing w:line="288" w:lineRule="auto" w:after="4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Упрощаются воспроизводимость и проверка на примерах. Подбор не гарантирует оптимум бюджета или целевых БЖУ, а масштабирование может дать неудобные кулинарные порции. Эти ограничения видны в прототипе и требуют развития. Нельзя представлять приближённый учебный каталог как основу медицинских рекомендаций.</w:t>
      </w:r>
    </w:p>
    <w:p>
      <w:pPr>
        <w:pStyle w:val="2"/>
        <w:spacing w:line="288" w:lineRule="auto" w:before="80" w:after="40"/>
      </w:pPr>
      <w:r>
        <w:rPr>
          <w:rFonts w:ascii="Times New Roman" w:hAnsi="Times New Roman"/>
          <w:b/>
          <w:color w:val="000000"/>
          <w:sz w:val="24"/>
        </w:rPr>
        <w:t>Роль агента</w:t>
      </w:r>
    </w:p>
    <w:p>
      <w:pPr>
        <w:spacing w:line="288" w:lineRule="auto" w:after="4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Агент написал расчёты и граничные тесты, включая неполную дешёвую корзину. Проверка примера ЛР1 выявила расхождение округления 234,5 г; агент согласовал правило half-up между сервером и интерфейсом. Пользователь уточнил фокус на похудении; это отражено в основном сообщении продукта, а не в вымышленных гарантиях результата.</w:t>
      </w:r>
    </w:p>
    <w:p>
      <w:pPr>
        <w:pStyle w:val="2"/>
        <w:pageBreakBefore/>
        <w:spacing w:line="288" w:lineRule="auto" w:before="160" w:after="80"/>
      </w:pPr>
      <w:r>
        <w:rPr>
          <w:rFonts w:ascii="Times New Roman" w:hAnsi="Times New Roman"/>
          <w:b/>
          <w:color w:val="000000"/>
          <w:sz w:val="28"/>
        </w:rPr>
        <w:t>ADR-004: Заменяемый адаптер демонстрационных цен</w:t>
      </w:r>
    </w:p>
    <w:p>
      <w:pPr>
        <w:pStyle w:val="2"/>
        <w:spacing w:line="288" w:lineRule="auto" w:before="80" w:after="40"/>
      </w:pPr>
      <w:r>
        <w:rPr>
          <w:rFonts w:ascii="Times New Roman" w:hAnsi="Times New Roman"/>
          <w:b/>
          <w:color w:val="000000"/>
          <w:sz w:val="24"/>
        </w:rPr>
        <w:t>Статус</w:t>
      </w:r>
    </w:p>
    <w:p>
      <w:pPr>
        <w:spacing w:line="288" w:lineRule="auto" w:after="4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Принято</w:t>
      </w:r>
    </w:p>
    <w:p>
      <w:pPr>
        <w:pStyle w:val="2"/>
        <w:spacing w:line="288" w:lineRule="auto" w:before="80" w:after="40"/>
      </w:pPr>
      <w:r>
        <w:rPr>
          <w:rFonts w:ascii="Times New Roman" w:hAnsi="Times New Roman"/>
          <w:b/>
          <w:color w:val="000000"/>
          <w:sz w:val="24"/>
        </w:rPr>
        <w:t>Контекст</w:t>
      </w:r>
    </w:p>
    <w:p>
      <w:pPr>
        <w:spacing w:line="288" w:lineRule="auto" w:after="4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FR-11 требует цены пяти сетей с датой и наличием; FR-12–13 используют фасовки; NFR-03 требует актуальности. Реальный доступ к данным сетей пока не подтверждён. Для ЛР2 нужен воспроизводимый сценарий интерфейса и обработки отказа источника.</w:t>
      </w:r>
    </w:p>
    <w:p>
      <w:pPr>
        <w:pStyle w:val="2"/>
        <w:spacing w:line="288" w:lineRule="auto" w:before="80" w:after="40"/>
      </w:pPr>
      <w:r>
        <w:rPr>
          <w:rFonts w:ascii="Times New Roman" w:hAnsi="Times New Roman"/>
          <w:b/>
          <w:color w:val="000000"/>
          <w:sz w:val="24"/>
        </w:rPr>
        <w:t>Рассмотренные альтернативы</w:t>
      </w:r>
    </w:p>
    <w:p>
      <w:pPr>
        <w:spacing w:line="288" w:lineRule="auto" w:after="4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1. Сразу парсить пять сайтов: зависит от региона, защиты и формата страниц; доступ и условия сбора пока не проверены.</w:t>
      </w:r>
    </w:p>
    <w:p>
      <w:pPr>
        <w:spacing w:line="288" w:lineRule="auto" w:after="4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2. Убрать сравнение до появления API: исключило бы важный экран и ключевую ценность из демонстрации.</w:t>
      </w:r>
    </w:p>
    <w:p>
      <w:pPr>
        <w:spacing w:line="288" w:lineRule="auto" w:after="4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3. Захардкодить итоговые суммы в UI: быстро, но не проверяет упаковки, замену блюд и взаимосвязь меню со стоимостью.</w:t>
      </w:r>
    </w:p>
    <w:p>
      <w:pPr>
        <w:pStyle w:val="2"/>
        <w:spacing w:line="288" w:lineRule="auto" w:before="80" w:after="40"/>
      </w:pPr>
      <w:r>
        <w:rPr>
          <w:rFonts w:ascii="Times New Roman" w:hAnsi="Times New Roman"/>
          <w:b/>
          <w:color w:val="000000"/>
          <w:sz w:val="24"/>
        </w:rPr>
        <w:t>Принятое решение</w:t>
      </w:r>
    </w:p>
    <w:p>
      <w:pPr>
        <w:spacing w:line="288" w:lineRule="auto" w:after="4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Создать DemoPriceProvider с методами read и refresh. Исходные предложения содержат сеть, ингредиент, размер упаковки, цену в копейках, наличие, дату, источник и город. Суммы вычисляются на этих данных. В интерфейсе постоянно указано, что цены тестовые. Моделируемый отказ выбрасывается до записи и возвращает 503; прошлые предложения остаются доступными. Будущий внешний адаптер должен сохранить эти контракты.</w:t>
      </w:r>
    </w:p>
    <w:p>
      <w:pPr>
        <w:pStyle w:val="2"/>
        <w:spacing w:line="288" w:lineRule="auto" w:before="80" w:after="40"/>
      </w:pPr>
      <w:r>
        <w:rPr>
          <w:rFonts w:ascii="Times New Roman" w:hAnsi="Times New Roman"/>
          <w:b/>
          <w:color w:val="000000"/>
          <w:sz w:val="24"/>
        </w:rPr>
        <w:t>Последствия</w:t>
      </w:r>
    </w:p>
    <w:p>
      <w:pPr>
        <w:spacing w:line="288" w:lineRule="auto" w:after="4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Упрощаются повторяемая защита и тестирование ошибок. Нельзя делать вывод об экономии в настоящих магазинах или считать выполненным суточное обновление NFR-03. Риск — принять учебные данные за реальные; он снижен явной маркировкой и документированием. Доставка в первом сравнении не учитывается: сценарий обозначен как самовывоз.</w:t>
      </w:r>
    </w:p>
    <w:p>
      <w:pPr>
        <w:pStyle w:val="2"/>
        <w:spacing w:line="288" w:lineRule="auto" w:before="80" w:after="40"/>
      </w:pPr>
      <w:r>
        <w:rPr>
          <w:rFonts w:ascii="Times New Roman" w:hAnsi="Times New Roman"/>
          <w:b/>
          <w:color w:val="000000"/>
          <w:sz w:val="24"/>
        </w:rPr>
        <w:t>Роль агента</w:t>
      </w:r>
    </w:p>
    <w:p>
      <w:pPr>
        <w:spacing w:line="288" w:lineRule="auto" w:after="4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Агент отделил интерфейс источника от расчётов и добавил тест неизменности корзин при 503. Решение опирается на ранее обсуждённый риск доступа к ценам. Пять реальных сетей не выдаются за интегрированные; агент не приписывает пользователю договорённости с магазинами.</w:t>
      </w:r>
    </w:p>
    <w:p>
      <w:pPr>
        <w:pStyle w:val="2"/>
        <w:pageBreakBefore/>
        <w:spacing w:line="288" w:lineRule="auto" w:before="160" w:after="80"/>
      </w:pPr>
      <w:r>
        <w:rPr>
          <w:rFonts w:ascii="Times New Roman" w:hAnsi="Times New Roman"/>
          <w:b/>
          <w:color w:val="000000"/>
          <w:sz w:val="28"/>
        </w:rPr>
        <w:t>ADR-005: Хеширование паролей и серверные сессии</w:t>
      </w:r>
    </w:p>
    <w:p>
      <w:pPr>
        <w:pStyle w:val="2"/>
        <w:spacing w:line="288" w:lineRule="auto" w:before="80" w:after="40"/>
      </w:pPr>
      <w:r>
        <w:rPr>
          <w:rFonts w:ascii="Times New Roman" w:hAnsi="Times New Roman"/>
          <w:b/>
          <w:color w:val="000000"/>
          <w:sz w:val="24"/>
        </w:rPr>
        <w:t>Статус</w:t>
      </w:r>
    </w:p>
    <w:p>
      <w:pPr>
        <w:spacing w:line="288" w:lineRule="auto" w:after="4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Принято</w:t>
      </w:r>
    </w:p>
    <w:p>
      <w:pPr>
        <w:pStyle w:val="2"/>
        <w:spacing w:line="288" w:lineRule="auto" w:before="80" w:after="40"/>
      </w:pPr>
      <w:r>
        <w:rPr>
          <w:rFonts w:ascii="Times New Roman" w:hAnsi="Times New Roman"/>
          <w:b/>
          <w:color w:val="000000"/>
          <w:sz w:val="24"/>
        </w:rPr>
        <w:t>Контекст</w:t>
      </w:r>
    </w:p>
    <w:p>
      <w:pPr>
        <w:spacing w:line="288" w:lineRule="auto" w:after="4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FR-01 предусматривает email и пароль. NFR-01 требует bcrypt cost 12, HTTPS и блокировку после пяти неверных попыток за 15 минут. Доступ к позиции плана должен проверять владельца, а демонстрация — не требовать публикации настоящих учётных данных.</w:t>
      </w:r>
    </w:p>
    <w:p>
      <w:pPr>
        <w:pStyle w:val="2"/>
        <w:spacing w:line="288" w:lineRule="auto" w:before="80" w:after="40"/>
      </w:pPr>
      <w:r>
        <w:rPr>
          <w:rFonts w:ascii="Times New Roman" w:hAnsi="Times New Roman"/>
          <w:b/>
          <w:color w:val="000000"/>
          <w:sz w:val="24"/>
        </w:rPr>
        <w:t>Рассмотренные альтернативы</w:t>
      </w:r>
    </w:p>
    <w:p>
      <w:pPr>
        <w:spacing w:line="288" w:lineRule="auto" w:after="4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1. Пароль или обратимо зашифрованный пароль в базе: не соответствует NFR-01 и создаёт ненужный риск раскрытия.</w:t>
      </w:r>
    </w:p>
    <w:p>
      <w:pPr>
        <w:spacing w:line="288" w:lineRule="auto" w:after="4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2. JWT в localStorage: удобен для распределённой системы, но сложнее отзыв сессии, а токен доступен JavaScript.</w:t>
      </w:r>
    </w:p>
    <w:p>
      <w:pPr>
        <w:spacing w:line="288" w:lineRule="auto" w:after="4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3. Внешний OAuth-провайдер: убирает локальный пароль, но требует внешней настройки и расходится с конкретным требованием email/пароль первой версии.</w:t>
      </w:r>
    </w:p>
    <w:p>
      <w:pPr>
        <w:pStyle w:val="2"/>
        <w:spacing w:line="288" w:lineRule="auto" w:before="80" w:after="40"/>
      </w:pPr>
      <w:r>
        <w:rPr>
          <w:rFonts w:ascii="Times New Roman" w:hAnsi="Times New Roman"/>
          <w:b/>
          <w:color w:val="000000"/>
          <w:sz w:val="24"/>
        </w:rPr>
        <w:t>Принятое решение</w:t>
      </w:r>
    </w:p>
    <w:p>
      <w:pPr>
        <w:spacing w:line="288" w:lineRule="auto" w:after="4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Хешировать пароль bcrypt с rounds=12. Создавать случайную cookie-сессию; сохранять только SHA-256 токена, срок действия и владельца. Cookie имеет HttpOnly, SameSite=Strict и Path=/. Проверять Origin изменяющих запросов и принадлежность данных. После пяти ошибок для email за последние 15 минут отклонять дальнейший вход до истечения окна. При выходе удалять серверную сессию. Демонстрационный вход создаёт отдельную учётную запись с отключённым паролем.</w:t>
      </w:r>
    </w:p>
    <w:p>
      <w:pPr>
        <w:pStyle w:val="2"/>
        <w:spacing w:line="288" w:lineRule="auto" w:before="80" w:after="40"/>
      </w:pPr>
      <w:r>
        <w:rPr>
          <w:rFonts w:ascii="Times New Roman" w:hAnsi="Times New Roman"/>
          <w:b/>
          <w:color w:val="000000"/>
          <w:sz w:val="24"/>
        </w:rPr>
        <w:t>Последствия</w:t>
      </w:r>
    </w:p>
    <w:p>
      <w:pPr>
        <w:spacing w:line="288" w:lineRule="auto" w:after="4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Упрощается отзыв сессий и ограничивается доступ JavaScript к токену. Возникают расходы bcrypt и необходимость хранения сессий. Локальный HTTP на loopback не выполняет HTTPS-часть NFR-01; Secure-cookie, TLS и production-развёртывание должны быть добавлены перед доступом через сеть. Демонстрационные аккаунты требуют будущей очистки по сроку жизни.</w:t>
      </w:r>
    </w:p>
    <w:p>
      <w:pPr>
        <w:pStyle w:val="2"/>
        <w:spacing w:line="288" w:lineRule="auto" w:before="80" w:after="40"/>
      </w:pPr>
      <w:r>
        <w:rPr>
          <w:rFonts w:ascii="Times New Roman" w:hAnsi="Times New Roman"/>
          <w:b/>
          <w:color w:val="000000"/>
          <w:sz w:val="24"/>
        </w:rPr>
        <w:t>Роль агента</w:t>
      </w:r>
    </w:p>
    <w:p>
      <w:pPr>
        <w:spacing w:line="288" w:lineRule="auto" w:after="4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Агент сверился с конкретным NFR-01 сданного отчёта и выбрал bcrypt вместо замены алгоритма без объяснения. Добавил проверку префикса хеша cost 12, входа второй сессии, изоляции другого пользователя и блокировки попыток. Выбор и его ограничения сформулированы агентом; отсутствующие production-проверки не приписаны студентам.</w:t>
      </w:r>
    </w:p>
    <w:p>
      <w:pPr>
        <w:pStyle w:val="1"/>
        <w:pageBreakBefore/>
      </w:pPr>
      <w:r>
        <w:t>7 Проверка прототипа и покрытие требований</w:t>
      </w:r>
    </w:p>
    <w:p>
      <w:pPr>
        <w:pStyle w:val="2"/>
      </w:pPr>
      <w:r>
        <w:t>7.1 Функциональная проверка</w:t>
      </w:r>
    </w:p>
    <w:p>
      <w:pPr>
        <w:spacing w:line="360" w:lineRule="auto"/>
        <w:ind w:firstLine="709"/>
        <w:jc w:val="both"/>
      </w:pPr>
      <w:r>
        <w:t>Автоматические тесты проверяют не только наличие интерфейса, но и граничные условия расчётов: 31 день при пяти приёмах пищи, повторы в календарной неделе, запрет аллергенов, отсутствие допустимого меню, округление упаковок, неполные корзины и экономию относительно следующей полной корзины. API-тесты используют временную SQLite, проверяют хеш bcrypt с cost 12, вход другой сессии в ту же учётную запись, изоляцию чужих планов, блокировку попыток, сохранение плана после ошибки и отказ источника цен.</w:t>
      </w:r>
    </w:p>
    <w:p>
      <w:pPr>
        <w:spacing w:line="360" w:lineRule="auto"/>
        <w:ind w:firstLine="709"/>
        <w:jc w:val="both"/>
      </w:pPr>
      <w:r>
        <w:t>Браузерный сценарий проверяет демонстрационный вход, генерацию, замену, запасы, пять сетей, сохранение после перезагрузки и ошибку источника. Фактические результаты записываются в docs/lab2/test_results.md и машинный JSON. Наличие теста не подменяет проведённую проверку; результаты в документе приводятся после запуска.</w:t>
      </w:r>
    </w:p>
    <w:p>
      <w:pPr>
        <w:pStyle w:val="2"/>
      </w:pPr>
      <w:r>
        <w:t>7.2 Уточнение NFR-05</w:t>
      </w:r>
    </w:p>
    <w:p>
      <w:pPr>
        <w:spacing w:line="360" w:lineRule="auto"/>
        <w:ind w:firstLine="709"/>
        <w:jc w:val="both"/>
      </w:pPr>
      <w:r>
        <w:t>Целевая проверяемая матрица: Google Chrome 155.0.8059.85 на Windows; Mozilla Firefox 158.0 на Windows; Safari 26.0 на macOS. Основные экраны настроек, меню, списка и корзины должны быть доступны на ширинах 360, 768 и 1920 CSS px без горизонтальной прокрутки страницы. Номер ОС, версия браузера, ширина и результат заносятся в протокол. Это зафиксированные версии для приёмки, а не подвижное обещание поддержки «двух последних версий».</w:t>
      </w:r>
    </w:p>
    <w:p>
      <w:pPr>
        <w:spacing w:line="360" w:lineRule="auto"/>
        <w:ind w:firstLine="709"/>
        <w:jc w:val="both"/>
      </w:pPr>
      <w:r>
        <w:t>В текущем окружении фактически проверен Google Chrome 155.0.8059.85. Проверки Firefox 158.0 и Safari 26.0 остаются пунктами приёмки; они не объявлены пройденными. Мобильная ширина в настольном браузере проверяет компоновку, но не заменяет испытания на реальном телефоне.</w:t>
      </w:r>
    </w:p>
    <w:p>
      <w:pPr>
        <w:pStyle w:val="2"/>
      </w:pPr>
      <w:r>
        <w:t>7.3 Матрица покрытия</w:t>
      </w:r>
    </w:p>
    <w:p>
      <w:pPr>
        <w:keepNext/>
      </w:pPr>
      <w:r>
        <w:rPr>
          <w:rFonts w:ascii="Times New Roman" w:hAnsi="Times New Roman"/>
          <w:b w:val="0"/>
          <w:color w:val="000000"/>
          <w:sz w:val="24"/>
        </w:rPr>
        <w:t>Таблица 4</w:t>
      </w:r>
    </w:p>
    <w:tbl>
      <w:tblPr>
        <w:tblStyle w:val="ae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rPr>
          <w:cantSplit/>
          <w:tblHeader/>
        </w:trPr>
        <w:tc>
          <w:tcPr>
            <w:tcW w:type="dxa" w:w="2551"/>
          </w:tcPr>
          <w:p>
            <w:pPr>
              <w:spacing w:line="252" w:lineRule="auto" w:after="60" w:before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Требования ЛР1</w:t>
            </w:r>
          </w:p>
        </w:tc>
        <w:tc>
          <w:tcPr>
            <w:tcW w:type="dxa" w:w="6803"/>
          </w:tcPr>
          <w:p>
            <w:pPr>
              <w:spacing w:line="252" w:lineRule="auto" w:after="60" w:before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Состояние прототипа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FR-01</w:t>
            </w:r>
          </w:p>
        </w:tc>
        <w:tc>
          <w:tcPr>
            <w:tcW w:type="dxa" w:w="6803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Регистрация и вход, серверное хранение и повторный вход реализованы. Доступ с другого устройства требует сетевого развёртывания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FR-02</w:t>
            </w:r>
          </w:p>
        </w:tc>
        <w:tc>
          <w:tcPr>
            <w:tcW w:type="dxa" w:w="6803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Расчёт и валидация реализованы; нижняя граница возраста уточнена до 18 лет под взрослую ЦА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FR-03</w:t>
            </w:r>
          </w:p>
        </w:tc>
        <w:tc>
          <w:tcPr>
            <w:tcW w:type="dxa" w:w="6803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14 меток аллергенов, исключения и проверка состава реализованы для фиксированного каталога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FR-04</w:t>
            </w:r>
          </w:p>
        </w:tc>
        <w:tc>
          <w:tcPr>
            <w:tcW w:type="dxa" w:w="6803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Несколько членов семьи пока не реализованы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FR-05, FR-06</w:t>
            </w:r>
          </w:p>
        </w:tc>
        <w:tc>
          <w:tcPr>
            <w:tcW w:type="dxa" w:w="6803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7–31 день, 3–5 приёмов, масштабирование энергии, повторы; при нехватке блюд явная ошибка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FR-07</w:t>
            </w:r>
          </w:p>
        </w:tc>
        <w:tc>
          <w:tcPr>
            <w:tcW w:type="dxa" w:w="6803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Подтверждаемая замена и пересчёт; число альтернатив зависит от каталога, гарантия трёх вариантов ещё не обеспечена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FR-08</w:t>
            </w:r>
          </w:p>
        </w:tc>
        <w:tc>
          <w:tcPr>
            <w:tcW w:type="dxa" w:w="6803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Карточка, состав, шаги, КБЖУ и количество на приём; самостоятельный выбор числа порций ещё не реализован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FR-09, FR-10</w:t>
            </w:r>
          </w:p>
        </w:tc>
        <w:tc>
          <w:tcPr>
            <w:tcW w:type="dxa" w:w="6803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Общий список, категории, запасы и купленные позиции реализованы; каталог использует канонические единицы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FR-11</w:t>
            </w:r>
          </w:p>
        </w:tc>
        <w:tc>
          <w:tcPr>
            <w:tcW w:type="dxa" w:w="6803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Модель пяти сетей реализована на тестовых данных; реального получения цен нет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FR-12</w:t>
            </w:r>
          </w:p>
        </w:tc>
        <w:tc>
          <w:tcPr>
            <w:tcW w:type="dxa" w:w="6803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Упаковки рассчитываются; сопоставление фиксировано в учебном каталоге. Ручной выбор товарного аналога ещё не реализован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FR-13, FR-15</w:t>
            </w:r>
          </w:p>
        </w:tc>
        <w:tc>
          <w:tcPr>
            <w:tcW w:type="dxa" w:w="6803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Полнота, сумма, следующая полная корзина, дата и бюджет работают на тестовом наборе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FR-14, FR-16–19</w:t>
            </w:r>
          </w:p>
        </w:tc>
        <w:tc>
          <w:tcPr>
            <w:tcW w:type="dxa" w:w="6803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Два магазина, экономные замены, внешний ИИ, шаблоны и учёт фактических расходов отложены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FR-20, FR-21</w:t>
            </w:r>
          </w:p>
        </w:tc>
        <w:tc>
          <w:tcPr>
            <w:tcW w:type="dxa" w:w="6803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Заказ и оплата исключены из текущей версии по Won't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NFR-01</w:t>
            </w:r>
          </w:p>
        </w:tc>
        <w:tc>
          <w:tcPr>
            <w:tcW w:type="dxa" w:w="6803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bcrypt и лимит попыток реализованы. HTTPS и production-развёртывание ещё не выполнены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NFR-02, NFR-04</w:t>
            </w:r>
          </w:p>
        </w:tc>
        <w:tc>
          <w:tcPr>
            <w:tcW w:type="dxa" w:w="6803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Специальные нагрузочные испытания на условиях ЛР1 не проводились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NFR-03</w:t>
            </w:r>
          </w:p>
        </w:tc>
        <w:tc>
          <w:tcPr>
            <w:tcW w:type="dxa" w:w="6803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Даты и сохранение цен при ошибке есть; реальное суточное обновление пяти сетей не реализовано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NFR-05</w:t>
            </w:r>
          </w:p>
        </w:tc>
        <w:tc>
          <w:tcPr>
            <w:tcW w:type="dxa" w:w="6803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Зафиксированы версии. Пройденная часть матрицы указана в протоколе</w:t>
            </w:r>
          </w:p>
        </w:tc>
      </w:tr>
    </w:tbl>
    <w:p>
      <w:pPr>
        <w:spacing w:after="60"/>
      </w:pPr>
    </w:p>
    <w:p>
      <w:pPr>
        <w:spacing w:line="360" w:lineRule="auto"/>
        <w:ind w:firstLine="709"/>
        <w:jc w:val="both"/>
      </w:pPr>
      <w:r>
        <w:t>Такое покрытие соответствует цели ЛР2 — исполняемый интерактивный прототип. Оно не означает выполнения всей спецификации будущего продукта.</w:t>
      </w:r>
    </w:p>
    <w:p>
      <w:pPr>
        <w:pStyle w:val="1"/>
        <w:pageBreakBefore/>
      </w:pPr>
      <w:r>
        <w:t>8 Работа с ИИ агентом</w:t>
      </w:r>
    </w:p>
    <w:p>
      <w:pPr>
        <w:spacing w:line="360" w:lineRule="auto"/>
        <w:ind w:firstLine="709"/>
        <w:jc w:val="both"/>
      </w:pPr>
      <w:r>
        <w:t>Пользователь передал агенту сданные материалы и замечания. До начала кода агент запросил уточнение аудитории, согласование экранов и смысл замечания NFR-05. Пользователь заменил предложенную агентом группу студентов на людей с интересом к похудению, подтвердил экраны и уточнил, что нужны версии браузеров. Эти ответы изменили проект до реализации.</w:t>
      </w:r>
    </w:p>
    <w:p>
      <w:pPr>
        <w:spacing w:line="360" w:lineRule="auto"/>
        <w:ind w:firstLine="709"/>
        <w:jc w:val="both"/>
      </w:pPr>
      <w:r>
        <w:t>Дословные значимые фрагменты запроса: «надо уже вторую лабу делать — реализовывать начинать продукт»; уточнение ЦА: «ЦА — люди с интересом в похудании»; ответ по экранам: «Да, подходит»; ответ по NFR-05: «указать версии браузеров вроде». Пунктуация первой фразы приведена к читаемому виду без изменения смысла. Полная переписка не подменяется вымышленными промптами.</w:t>
      </w:r>
    </w:p>
    <w:p>
      <w:pPr>
        <w:spacing w:line="360" w:lineRule="auto"/>
        <w:ind w:firstLine="709"/>
        <w:jc w:val="both"/>
      </w:pPr>
      <w:r>
        <w:t>Агент самостоятельно сформулировал техническую подзадачу: реализовать согласованные экраны, серверную авторизацию и хранение; вынести вычисления в чистые функции; отделить демонстрационный источник цен; сформировать схемы из описания компонентов и согласовать ER с SQL; проверить основной, альтернативный и исключительный сценарии. Это рабочая формулировка агента, она не приписывается студенту как дословный запрос.</w:t>
      </w:r>
    </w:p>
    <w:p>
      <w:pPr>
        <w:spacing w:line="360" w:lineRule="auto"/>
        <w:ind w:firstLine="709"/>
        <w:jc w:val="both"/>
      </w:pPr>
      <w:r>
        <w:t>В ходе проверки обнаружены и исправлены ошибки: число SQL-параметров при первичной загрузке каталога; расхождение банковского округления Python с примером углеводов из ЛР1; незакрытое соединение SQLite, мешавшее удалению временной базы в Windows; лишние контуры фокуса из-за CSS-селектора; доступное имя кнопок навигации с декоративным символом. После исправлений тесты запущены повторно.</w:t>
      </w:r>
    </w:p>
    <w:p>
      <w:pPr>
        <w:spacing w:line="360" w:lineRule="auto"/>
        <w:ind w:firstLine="709"/>
        <w:jc w:val="both"/>
      </w:pPr>
      <w:r>
        <w:t>Агент подготовил связанный первый срез, контракты, схемы и тесты. При этом каталог требует проверки, реальные сети ещё не подключены, а покрытие требований неполное. Неисполненные проверки обозначены в протоколе.</w:t>
      </w:r>
    </w:p>
    <w:p>
      <w:pPr>
        <w:pStyle w:val="1"/>
        <w:pageBreakBefore/>
      </w:pPr>
      <w:r>
        <w:t>Заключение</w:t>
      </w:r>
    </w:p>
    <w:p>
      <w:pPr>
        <w:spacing w:line="360" w:lineRule="auto"/>
        <w:ind w:firstLine="709"/>
        <w:jc w:val="both"/>
      </w:pPr>
      <w:r>
        <w:t>Подготовлены структурная схема, use case, три диаграммы активности, ER-модель, контракты, предварительные экраны и пять ADR. Реализован запускаемый прототип с регистрацией, меню, заменой, списком и сравнением пяти учебных корзин. Документы и код находятся в одном репозитории. Следующий этап — расширить проверенный каталог и подключить реальный разрешённый источник цен, сохранив контракт адаптера.</w:t>
      </w:r>
    </w:p>
    <w:p>
      <w:pPr>
        <w:pStyle w:val="1"/>
        <w:pageBreakBefore/>
      </w:pPr>
      <w:r>
        <w:t>Источники</w:t>
      </w:r>
    </w:p>
    <w:p>
      <w:pPr>
        <w:spacing w:line="360" w:lineRule="auto"/>
        <w:ind w:firstLine="709"/>
        <w:jc w:val="both"/>
      </w:pPr>
      <w:r>
        <w:t>1. Задание ЛР2, предоставленное преподавателем: sources/lab2-assignment.txt.</w:t>
      </w:r>
    </w:p>
    <w:p>
      <w:pPr>
        <w:spacing w:line="360" w:lineRule="auto"/>
        <w:ind w:firstLine="709"/>
        <w:jc w:val="both"/>
      </w:pPr>
      <w:r>
        <w:t>2. Сданный отчёт ЛР1 и презентация: sources/submitted-lab1/.</w:t>
      </w:r>
    </w:p>
    <w:p>
      <w:pPr>
        <w:spacing w:line="276" w:lineRule="auto" w:after="10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3. Python sqlite3: https://docs.python.org/3/library/sqlite3.html.</w:t>
      </w:r>
    </w:p>
    <w:p>
      <w:pPr>
        <w:spacing w:line="276" w:lineRule="auto" w:after="10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4. bcrypt 5.0.0: https://pypi.org/project/bcrypt/5.0.0/.</w:t>
      </w:r>
    </w:p>
    <w:p>
      <w:pPr>
        <w:spacing w:line="276" w:lineRule="auto" w:after="10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5. Firefox 158.0, примечания к выпуску: https://www.firefox.com/en-US/firefox/158.0/releasenotes/.</w:t>
      </w:r>
    </w:p>
    <w:p>
      <w:pPr>
        <w:spacing w:line="276" w:lineRule="auto" w:after="10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6. Safari 26.0, примечания к выпуску: https://developer.apple.com/documentation/safari-release-notes/safari-26-release-notes.</w:t>
      </w:r>
    </w:p>
    <w:p>
      <w:pPr>
        <w:spacing w:line="276" w:lineRule="auto" w:after="10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7. Chrome, документация версий: https://developer.chrome.com/release-notes. Версия фактически установленного браузера зафиксирована автоматической проверкой.</w:t>
      </w:r>
    </w:p>
    <w:p>
      <w:pPr>
        <w:sectPr>
          <w:footerReference w:type="default" r:id="rId9"/>
          <w:footerReference w:type="first" r:id="rId10"/>
          <w:pgSz w:w="11906" w:h="16838"/>
          <w:pgMar w:top="1134" w:right="850" w:bottom="1134" w:left="1701" w:header="708" w:footer="567" w:gutter="0"/>
          <w:cols w:space="708"/>
          <w:titlePg/>
          <w:docGrid w:linePitch="360"/>
        </w:sectPr>
      </w:pPr>
    </w:p>
    <w:p>
      <w:pPr>
        <w:spacing w:after="240"/>
      </w:pPr>
      <w:r>
        <w:rPr>
          <w:rFonts w:ascii="Times New Roman" w:hAnsi="Times New Roman"/>
          <w:b w:val="0"/>
          <w:color w:val="000000"/>
          <w:sz w:val="24"/>
        </w:rPr>
        <w:t>Приложение А Схемы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669886" cy="5400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69886" cy="5400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1 - Структурная схема системы</w:t>
      </w:r>
    </w:p>
    <w:p>
      <w:pPr>
        <w:sectPr>
          <w:pgSz w:w="16838" w:h="11906" w:orient="landscape"/>
          <w:pgMar w:top="850" w:right="850" w:bottom="850" w:left="1134" w:header="708" w:footer="567" w:gutter="0"/>
          <w:cols w:space="708"/>
          <w:docGrid w:linePitch="360"/>
        </w:sectPr>
      </w:pPr>
    </w:p>
    <w:p>
      <w:pPr>
        <w:spacing w:after="240"/>
      </w:pPr>
      <w:r>
        <w:rPr>
          <w:rFonts w:ascii="Times New Roman" w:hAnsi="Times New Roman"/>
          <w:b w:val="0"/>
          <w:color w:val="000000"/>
          <w:sz w:val="24"/>
        </w:rPr>
        <w:t>Приложение А Продолжение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1123924" cy="85326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123924" cy="8532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2 - Диаграмма вариантов использования</w:t>
      </w:r>
    </w:p>
    <w:p>
      <w:pPr>
        <w:sectPr>
          <w:pgSz w:w="23811" w:h="16838" w:orient="landscape"/>
          <w:pgMar w:top="850" w:right="850" w:bottom="850" w:left="1134" w:header="708" w:footer="567" w:gutter="0"/>
          <w:cols w:space="708"/>
          <w:docGrid w:linePitch="360"/>
        </w:sectPr>
      </w:pPr>
    </w:p>
    <w:p>
      <w:pPr>
        <w:spacing w:after="240"/>
      </w:pPr>
      <w:r>
        <w:rPr>
          <w:rFonts w:ascii="Times New Roman" w:hAnsi="Times New Roman"/>
          <w:b w:val="0"/>
          <w:color w:val="000000"/>
          <w:sz w:val="24"/>
        </w:rPr>
        <w:t>Приложение А Продолжение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65653" cy="85326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m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5653" cy="8532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3 - Основной сценарий</w:t>
      </w:r>
    </w:p>
    <w:p>
      <w:pPr>
        <w:sectPr>
          <w:pgSz w:w="11906" w:h="16838"/>
          <w:pgMar w:top="850" w:right="850" w:bottom="850" w:left="1134" w:header="708" w:footer="567" w:gutter="0"/>
          <w:cols w:space="708"/>
          <w:docGrid w:linePitch="360"/>
        </w:sectPr>
      </w:pPr>
    </w:p>
    <w:p>
      <w:pPr>
        <w:spacing w:after="240"/>
      </w:pPr>
      <w:r>
        <w:rPr>
          <w:rFonts w:ascii="Times New Roman" w:hAnsi="Times New Roman"/>
          <w:b w:val="0"/>
          <w:color w:val="000000"/>
          <w:sz w:val="24"/>
        </w:rPr>
        <w:t>Приложение А Продолжение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88239" cy="85326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alternati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8239" cy="8532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4 - Альтернативный сценарий замены блюда</w:t>
      </w:r>
    </w:p>
    <w:p>
      <w:pPr>
        <w:sectPr>
          <w:pgSz w:w="11906" w:h="16838"/>
          <w:pgMar w:top="850" w:right="850" w:bottom="850" w:left="1134" w:header="708" w:footer="567" w:gutter="0"/>
          <w:cols w:space="708"/>
          <w:docGrid w:linePitch="360"/>
        </w:sectPr>
      </w:pPr>
    </w:p>
    <w:p>
      <w:pPr>
        <w:spacing w:after="240"/>
      </w:pPr>
      <w:r>
        <w:rPr>
          <w:rFonts w:ascii="Times New Roman" w:hAnsi="Times New Roman"/>
          <w:b w:val="0"/>
          <w:color w:val="000000"/>
          <w:sz w:val="24"/>
        </w:rPr>
        <w:t>Приложение А Продолжение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68710" cy="85326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excep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8710" cy="8532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5 - Сценарий ошибки источника цен</w:t>
      </w:r>
    </w:p>
    <w:p>
      <w:pPr>
        <w:sectPr>
          <w:pgSz w:w="11906" w:h="16838"/>
          <w:pgMar w:top="850" w:right="850" w:bottom="850" w:left="1134" w:header="708" w:footer="567" w:gutter="0"/>
          <w:cols w:space="708"/>
          <w:docGrid w:linePitch="360"/>
        </w:sectPr>
      </w:pPr>
    </w:p>
    <w:p>
      <w:pPr>
        <w:spacing w:after="240"/>
      </w:pPr>
      <w:r>
        <w:rPr>
          <w:rFonts w:ascii="Times New Roman" w:hAnsi="Times New Roman"/>
          <w:b w:val="0"/>
          <w:color w:val="000000"/>
          <w:sz w:val="24"/>
        </w:rPr>
        <w:t>Приложение А Продолжение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046065" cy="85326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46065" cy="8532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6 - Предварительные экранные формы</w:t>
      </w:r>
    </w:p>
    <w:p>
      <w:pPr>
        <w:sectPr>
          <w:pgSz w:w="23811" w:h="16838" w:orient="landscape"/>
          <w:pgMar w:top="850" w:right="850" w:bottom="850" w:left="1134" w:header="708" w:footer="567" w:gutter="0"/>
          <w:cols w:space="708"/>
          <w:docGrid w:linePitch="360"/>
        </w:sectPr>
      </w:pPr>
    </w:p>
    <w:p>
      <w:pPr>
        <w:spacing w:after="240"/>
      </w:pPr>
      <w:r>
        <w:rPr>
          <w:rFonts w:ascii="Times New Roman" w:hAnsi="Times New Roman"/>
          <w:b w:val="0"/>
          <w:color w:val="000000"/>
          <w:sz w:val="24"/>
        </w:rPr>
        <w:t>Приложение А Продолжение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288157" cy="85326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288157" cy="8532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7 - ER-модель прототипа</w:t>
      </w:r>
    </w:p>
    <w:p>
      <w:pPr>
        <w:sectPr>
          <w:pgSz w:w="23811" w:h="16838" w:orient="landscape"/>
          <w:pgMar w:top="850" w:right="850" w:bottom="850" w:left="1134" w:header="708" w:footer="567" w:gutter="0"/>
          <w:cols w:space="708"/>
          <w:docGrid w:linePitch="360"/>
        </w:sectPr>
      </w:pPr>
    </w:p>
    <w:p>
      <w:pPr>
        <w:pStyle w:val="1"/>
        <w:pageBreakBefore w:val="0"/>
      </w:pPr>
      <w:r>
        <w:t>Приложение Б Протокол проверки</w:t>
      </w:r>
    </w:p>
    <w:p>
      <w:pPr>
        <w:spacing w:line="288" w:lineRule="auto" w:after="4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Дата: 25.10.2026. Среда: Windows 11 Pro, версия 10.0.26200; Python 3.12.14; Google Chrome 155.0.8059.85. Браузер управляется Playwright, приложение запущено на 127.0.0.1. Тестовые аккаунты и временные базы не содержат пользовательских данных.</w:t>
      </w:r>
    </w:p>
    <w:p>
      <w:pPr>
        <w:pStyle w:val="2"/>
      </w:pPr>
      <w:r>
        <w:t>Расчёты и HTTP API</w:t>
      </w:r>
    </w:p>
    <w:p>
      <w:pPr>
        <w:spacing w:line="288" w:lineRule="auto" w:after="4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Команда: python -m unittest discover -s prototype/tests -v из корня репозитория после установки prototype/requirements.txt.</w:t>
      </w:r>
    </w:p>
    <w:p>
      <w:pPr>
        <w:spacing w:line="288" w:lineRule="auto" w:after="4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Результат: 16 тестов пройдены, ошибок и пропусков нет. Проверены 9 доменных и 7 API-сценариев. API-тесты поднимают отдельный сервер на свободном порту и используют временную SQLite.</w:t>
      </w:r>
    </w:p>
    <w:p>
      <w:pPr>
        <w:keepNext/>
      </w:pPr>
      <w:r>
        <w:rPr>
          <w:rFonts w:ascii="Times New Roman" w:hAnsi="Times New Roman"/>
          <w:b w:val="0"/>
          <w:color w:val="000000"/>
          <w:sz w:val="24"/>
        </w:rPr>
        <w:t>Таблица 1</w:t>
      </w:r>
    </w:p>
    <w:tbl>
      <w:tblPr>
        <w:tblStyle w:val="ae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3458"/>
        <w:gridCol w:w="3515"/>
      </w:tblGrid>
      <w:tr>
        <w:trPr>
          <w:cantSplit/>
          <w:tblHeader/>
        </w:trPr>
        <w:tc>
          <w:tcPr>
            <w:tcW w:type="dxa" w:w="2381"/>
          </w:tcPr>
          <w:p>
            <w:pPr>
              <w:spacing w:line="252" w:lineRule="auto" w:after="60" w:before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Группа</w:t>
            </w:r>
          </w:p>
        </w:tc>
        <w:tc>
          <w:tcPr>
            <w:tcW w:type="dxa" w:w="3458"/>
          </w:tcPr>
          <w:p>
            <w:pPr>
              <w:spacing w:line="252" w:lineRule="auto" w:after="60" w:before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Проверка</w:t>
            </w:r>
          </w:p>
        </w:tc>
        <w:tc>
          <w:tcPr>
            <w:tcW w:type="dxa" w:w="3515"/>
          </w:tcPr>
          <w:p>
            <w:pPr>
              <w:spacing w:line="252" w:lineRule="auto" w:after="60" w:before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Нормы</w:t>
            </w:r>
          </w:p>
        </w:tc>
        <w:tc>
          <w:tcPr>
            <w:tcW w:type="dxa" w:w="345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Пример ЛР1: 2345 ккал, 176/78/235 г БЖУ</w:t>
            </w:r>
          </w:p>
        </w:tc>
        <w:tc>
          <w:tcPr>
            <w:tcW w:type="dxa" w:w="3515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Пройдено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Валидация</w:t>
            </w:r>
          </w:p>
        </w:tc>
        <w:tc>
          <w:tcPr>
            <w:tcW w:type="dxa" w:w="345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6/32 дня, дробный период, нулевой бюджет, NaN</w:t>
            </w:r>
          </w:p>
        </w:tc>
        <w:tc>
          <w:tcPr>
            <w:tcW w:type="dxa" w:w="3515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Отклонены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План</w:t>
            </w:r>
          </w:p>
        </w:tc>
        <w:tc>
          <w:tcPr>
            <w:tcW w:type="dxa" w:w="345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7 дней × 3 приёма, энергия дня</w:t>
            </w:r>
          </w:p>
        </w:tc>
        <w:tc>
          <w:tcPr>
            <w:tcW w:type="dxa" w:w="3515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21 позиция, отклонение менее 1 ккал на учебных данных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Длинный период</w:t>
            </w:r>
          </w:p>
        </w:tc>
        <w:tc>
          <w:tcPr>
            <w:tcW w:type="dxa" w:w="345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31 день × 5 приёмов, лимит повторов</w:t>
            </w:r>
          </w:p>
        </w:tc>
        <w:tc>
          <w:tcPr>
            <w:tcW w:type="dxa" w:w="3515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155 позиций, не более 2 повторов в календарной неделе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Исключения</w:t>
            </w:r>
          </w:p>
        </w:tc>
        <w:tc>
          <w:tcPr>
            <w:tcW w:type="dxa" w:w="345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Арахис и орехи не попадают в план</w:t>
            </w:r>
          </w:p>
        </w:tc>
        <w:tc>
          <w:tcPr>
            <w:tcW w:type="dxa" w:w="3515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Пройдено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Нехватка блюд</w:t>
            </w:r>
          </w:p>
        </w:tc>
        <w:tc>
          <w:tcPr>
            <w:tcW w:type="dxa" w:w="345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Ограничение 5 минут, невозможный основной приём</w:t>
            </w:r>
          </w:p>
        </w:tc>
        <w:tc>
          <w:tcPr>
            <w:tcW w:type="dxa" w:w="3515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Явная ошибка без снятия ограничений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Упаковки</w:t>
            </w:r>
          </w:p>
        </w:tc>
        <w:tc>
          <w:tcPr>
            <w:tcW w:type="dxa" w:w="345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700 г нужно, 100 г дома, пачка 500 г за 100 ₽</w:t>
            </w:r>
          </w:p>
        </w:tc>
        <w:tc>
          <w:tcPr>
            <w:tcW w:type="dxa" w:w="3515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2 пачки, 200 ₽, остаток 400 г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Полнота</w:t>
            </w:r>
          </w:p>
        </w:tc>
        <w:tc>
          <w:tcPr>
            <w:tcW w:type="dxa" w:w="345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Дешёвая неполная корзина рядом с полной</w:t>
            </w:r>
          </w:p>
        </w:tc>
        <w:tc>
          <w:tcPr>
            <w:tcW w:type="dxa" w:w="3515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Неполная не рекомендуется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Экономия</w:t>
            </w:r>
          </w:p>
        </w:tc>
        <w:tc>
          <w:tcPr>
            <w:tcW w:type="dxa" w:w="345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Корзины 1250/1180/1210 ₽</w:t>
            </w:r>
          </w:p>
        </w:tc>
        <w:tc>
          <w:tcPr>
            <w:tcW w:type="dxa" w:w="3515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Экономия 30 ₽ со следующей полной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Авторизация</w:t>
            </w:r>
          </w:p>
        </w:tc>
        <w:tc>
          <w:tcPr>
            <w:tcW w:type="dxa" w:w="345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Регистрация, повтор email, bcrypt cost 12, вход второй сессии</w:t>
            </w:r>
          </w:p>
        </w:tc>
        <w:tc>
          <w:tcPr>
            <w:tcW w:type="dxa" w:w="3515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Пройдено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Ограничение попыток</w:t>
            </w:r>
          </w:p>
        </w:tc>
        <w:tc>
          <w:tcPr>
            <w:tcW w:type="dxa" w:w="345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5 неверных паролей и следующая попытка</w:t>
            </w:r>
          </w:p>
        </w:tc>
        <w:tc>
          <w:tcPr>
            <w:tcW w:type="dxa" w:w="3515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Следующая попытка: 429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Изоляция</w:t>
            </w:r>
          </w:p>
        </w:tc>
        <w:tc>
          <w:tcPr>
            <w:tcW w:type="dxa" w:w="345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Запрос позиции чужого плана</w:t>
            </w:r>
          </w:p>
        </w:tc>
        <w:tc>
          <w:tcPr>
            <w:tcW w:type="dxa" w:w="3515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404; чужой план не раскрыт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Выход</w:t>
            </w:r>
          </w:p>
        </w:tc>
        <w:tc>
          <w:tcPr>
            <w:tcW w:type="dxa" w:w="345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Повторное чтение state после logout</w:t>
            </w:r>
          </w:p>
        </w:tc>
        <w:tc>
          <w:tcPr>
            <w:tcW w:type="dxa" w:w="3515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401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Отказ источника</w:t>
            </w:r>
          </w:p>
        </w:tc>
        <w:tc>
          <w:tcPr>
            <w:tcW w:type="dxa" w:w="345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503 при обновлении</w:t>
            </w:r>
          </w:p>
        </w:tc>
        <w:tc>
          <w:tcPr>
            <w:tcW w:type="dxa" w:w="3515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Цены и суммы неизменны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Ошибка плана</w:t>
            </w:r>
          </w:p>
        </w:tc>
        <w:tc>
          <w:tcPr>
            <w:tcW w:type="dxa" w:w="345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Неверный период и нехватка блюд</w:t>
            </w:r>
          </w:p>
        </w:tc>
        <w:tc>
          <w:tcPr>
            <w:tcW w:type="dxa" w:w="3515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Предыдущий план сохранён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Origin</w:t>
            </w:r>
          </w:p>
        </w:tc>
        <w:tc>
          <w:tcPr>
            <w:tcW w:type="dxa" w:w="345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Изменяющий запрос с внешнего домена</w:t>
            </w:r>
          </w:p>
        </w:tc>
        <w:tc>
          <w:tcPr>
            <w:tcW w:type="dxa" w:w="3515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403</w:t>
            </w:r>
          </w:p>
        </w:tc>
      </w:tr>
    </w:tbl>
    <w:p>
      <w:pPr>
        <w:spacing w:after="60"/>
      </w:pPr>
    </w:p>
    <w:p>
      <w:pPr>
        <w:pStyle w:val="2"/>
      </w:pPr>
      <w:r>
        <w:t>Браузерный сценарий</w:t>
      </w:r>
    </w:p>
    <w:p>
      <w:pPr>
        <w:spacing w:line="288" w:lineRule="auto" w:after="4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Файл проверки: prototype/tests/browser.cjs. Машинный результат: evidence/browser-results.json. Пройдено: демонстрационный вход; заполнение формы; генерация; замена с подтверждением; учёт запаса; пять корзин; ошибка источника; перезагрузка с сохранением плана; отказ чтения состояния без сессии. Ошибок JavaScript в прогоне нет.</w:t>
      </w:r>
    </w:p>
    <w:p>
      <w:pPr>
        <w:keepNext/>
      </w:pPr>
      <w:r>
        <w:rPr>
          <w:rFonts w:ascii="Times New Roman" w:hAnsi="Times New Roman"/>
          <w:b w:val="0"/>
          <w:color w:val="000000"/>
          <w:sz w:val="24"/>
        </w:rPr>
        <w:t>Таблица 2</w:t>
      </w:r>
    </w:p>
    <w:tbl>
      <w:tblPr>
        <w:tblStyle w:val="ae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757"/>
        <w:gridCol w:w="1757"/>
        <w:gridCol w:w="1757"/>
        <w:gridCol w:w="2098"/>
      </w:tblGrid>
      <w:tr>
        <w:trPr>
          <w:cantSplit/>
          <w:tblHeader/>
        </w:trPr>
        <w:tc>
          <w:tcPr>
            <w:tcW w:type="dxa" w:w="1984"/>
          </w:tcPr>
          <w:p>
            <w:pPr>
              <w:spacing w:line="252" w:lineRule="auto" w:after="60" w:before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Браузер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Настройки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Меню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Список</w:t>
            </w:r>
          </w:p>
        </w:tc>
        <w:tc>
          <w:tcPr>
            <w:tcW w:type="dxa" w:w="2098"/>
          </w:tcPr>
          <w:p>
            <w:pPr>
              <w:spacing w:line="252" w:lineRule="auto" w:after="60" w:before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Корзины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Chrome 155.0.8059.85, 360 px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Пройдено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Пройдено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Пройдено</w:t>
            </w:r>
          </w:p>
        </w:tc>
        <w:tc>
          <w:tcPr>
            <w:tcW w:type="dxa" w:w="209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Пройдено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Chrome 155.0.8059.85, 768 px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Пройдено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Пройдено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Пройдено</w:t>
            </w:r>
          </w:p>
        </w:tc>
        <w:tc>
          <w:tcPr>
            <w:tcW w:type="dxa" w:w="209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Пройдено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Chrome 155.0.8059.85, 1920 px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Пройдено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Пройдено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Пройдено</w:t>
            </w:r>
          </w:p>
        </w:tc>
        <w:tc>
          <w:tcPr>
            <w:tcW w:type="dxa" w:w="209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Пройдено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Firefox 158.0, те же ширины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Не проверено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Не проверено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Не проверено</w:t>
            </w:r>
          </w:p>
        </w:tc>
        <w:tc>
          <w:tcPr>
            <w:tcW w:type="dxa" w:w="209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Не проверено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Safari 26.0, те же ширины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Не проверено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Не проверено</w:t>
            </w:r>
          </w:p>
        </w:tc>
        <w:tc>
          <w:tcPr>
            <w:tcW w:type="dxa" w:w="1757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Не проверено</w:t>
            </w:r>
          </w:p>
        </w:tc>
        <w:tc>
          <w:tcPr>
            <w:tcW w:type="dxa" w:w="2098"/>
          </w:tcPr>
          <w:p>
            <w:pPr>
              <w:spacing w:line="252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Не проверено</w:t>
            </w:r>
          </w:p>
        </w:tc>
      </w:tr>
    </w:tbl>
    <w:p>
      <w:pPr>
        <w:spacing w:after="60"/>
      </w:pPr>
    </w:p>
    <w:p>
      <w:pPr>
        <w:spacing w:line="288" w:lineRule="auto" w:after="4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Горизонтальная прокрутка документа отсутствует на всех 12 проверенных сочетаниях. Компоновка проверяется в настольном браузере; реальная сенсорная клавиатура, устройства iOS/Android и Safari в этом окружении не проверялись.</w:t>
      </w:r>
    </w:p>
    <w:p>
      <w:pPr>
        <w:pStyle w:val="2"/>
      </w:pPr>
      <w:r>
        <w:t>Границы результатов</w:t>
      </w:r>
    </w:p>
    <w:p>
      <w:pPr>
        <w:spacing w:line="288" w:lineRule="auto" w:after="4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Нагрузочные условия NFR-02 и NFR-04 не воспроизводились; 24-часовое обновление реальных цен NFR-03 не проверялось. Проверка примера нормы — проверка арифметики, а не медицинской пригодности. Тестовый каталог не подтверждает качество рецептов и рыночную экономию. Полная матрица NFR-05 остаётся незавершённой до Firefox и Safari.</w:t>
      </w:r>
    </w:p>
    <w:sectPr w:rsidR="00FD485F" w:rsidSect="00D1019A">
      <w:pgSz w:w="11906" w:h="16838"/>
      <w:pgMar w:top="1134" w:right="850" w:bottom="1134" w:left="1701" w:header="708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b w:val="0"/>
        <w:color w:val="000000"/>
        <w:sz w:val="24"/>
      </w:rPr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090D35"/>
    <w:multiLevelType w:val="hybridMultilevel"/>
    <w:tmpl w:val="BEA433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ACB"/>
    <w:rsid w:val="0003248F"/>
    <w:rsid w:val="00032DE9"/>
    <w:rsid w:val="000C056C"/>
    <w:rsid w:val="00185232"/>
    <w:rsid w:val="00196B59"/>
    <w:rsid w:val="002427BA"/>
    <w:rsid w:val="002A1866"/>
    <w:rsid w:val="002F5B17"/>
    <w:rsid w:val="003B0582"/>
    <w:rsid w:val="003F7FE8"/>
    <w:rsid w:val="004007D5"/>
    <w:rsid w:val="004269E3"/>
    <w:rsid w:val="00464030"/>
    <w:rsid w:val="004A14C1"/>
    <w:rsid w:val="004C4114"/>
    <w:rsid w:val="004C7E34"/>
    <w:rsid w:val="00582F29"/>
    <w:rsid w:val="005E1952"/>
    <w:rsid w:val="006B7ACB"/>
    <w:rsid w:val="006D2F1F"/>
    <w:rsid w:val="00793CCC"/>
    <w:rsid w:val="00857C8C"/>
    <w:rsid w:val="00870C29"/>
    <w:rsid w:val="00874B54"/>
    <w:rsid w:val="009165A6"/>
    <w:rsid w:val="00A66730"/>
    <w:rsid w:val="00B004C4"/>
    <w:rsid w:val="00B13F8A"/>
    <w:rsid w:val="00B316CD"/>
    <w:rsid w:val="00BD502D"/>
    <w:rsid w:val="00BE0DC2"/>
    <w:rsid w:val="00BF5261"/>
    <w:rsid w:val="00CD3F9B"/>
    <w:rsid w:val="00D1019A"/>
    <w:rsid w:val="00D25ACF"/>
    <w:rsid w:val="00D729E3"/>
    <w:rsid w:val="00E13213"/>
    <w:rsid w:val="00E50067"/>
    <w:rsid w:val="00E96281"/>
    <w:rsid w:val="00EC2220"/>
    <w:rsid w:val="00EF6755"/>
    <w:rsid w:val="00F308D7"/>
    <w:rsid w:val="00F405B0"/>
    <w:rsid w:val="00F60646"/>
    <w:rsid w:val="00F61E4D"/>
    <w:rsid w:val="00FD2C9C"/>
    <w:rsid w:val="00FD4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1D1A9"/>
  <w15:chartTrackingRefBased/>
  <w15:docId w15:val="{38DCE10A-04C2-4CAC-B798-6EBE955B2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019A"/>
    <w:pPr>
      <w:widowControl/>
      <w:spacing w:after="0" w:line="360" w:lineRule="auto" w:before="0"/>
    </w:pPr>
    <w:rPr>
      <w:rFonts w:ascii="Times New Roman" w:eastAsiaTheme="minorEastAsia" w:hAnsi="Times New Roman"/>
      <w:color w:val="000000"/>
      <w:kern w:val="0"/>
      <w:sz w:val="28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4C7E34"/>
    <w:pPr>
      <w:keepNext/>
      <w:keepLines/>
      <w:spacing w:before="200" w:after="120" w:line="360" w:lineRule="auto"/>
      <w:jc w:val="center"/>
      <w:outlineLvl w:val="0"/>
    </w:pPr>
    <w:rPr>
      <w:rFonts w:eastAsiaTheme="majorEastAsia" w:cstheme="majorBidi" w:ascii="Times New Roman" w:hAnsi="Times New Roman"/>
      <w:b/>
      <w:bCs/>
      <w:caps/>
      <w:color w:val="000000"/>
      <w:kern w:val="2"/>
      <w:sz w:val="28"/>
      <w:szCs w:val="28"/>
      <w:lang w:val="ru-RU"/>
      <w14:ligatures w14:val="standardContextual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729E3"/>
    <w:pPr>
      <w:keepNext/>
      <w:keepLines/>
      <w:spacing w:before="200" w:after="120" w:line="360" w:lineRule="auto"/>
      <w:outlineLvl w:val="1"/>
    </w:pPr>
    <w:rPr>
      <w:rFonts w:eastAsiaTheme="majorEastAsia" w:cstheme="majorBidi" w:ascii="Times New Roman" w:hAnsi="Times New Roman"/>
      <w:b/>
      <w:bCs/>
      <w:color w:val="000000"/>
      <w:kern w:val="2"/>
      <w:sz w:val="28"/>
      <w:szCs w:val="26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7ACB"/>
    <w:pPr>
      <w:keepNext/>
      <w:keepLines/>
      <w:spacing w:before="200" w:after="120" w:line="360" w:lineRule="auto"/>
      <w:outlineLvl w:val="2"/>
    </w:pPr>
    <w:rPr>
      <w:rFonts w:asciiTheme="minorHAnsi" w:eastAsiaTheme="majorEastAsia" w:hAnsiTheme="minorHAnsi" w:cstheme="majorBidi" w:ascii="Times New Roman" w:hAnsi="Times New Roman"/>
      <w:b/>
      <w:color w:val="000000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7ACB"/>
    <w:pPr>
      <w:keepNext/>
      <w:keepLines/>
      <w:spacing w:before="80" w:after="40" w:line="36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7ACB"/>
    <w:pPr>
      <w:keepNext/>
      <w:keepLines/>
      <w:spacing w:before="80" w:after="40" w:line="36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7ACB"/>
    <w:pPr>
      <w:keepNext/>
      <w:keepLines/>
      <w:spacing w:before="40" w:after="0" w:line="36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7ACB"/>
    <w:pPr>
      <w:keepNext/>
      <w:keepLines/>
      <w:spacing w:before="40" w:after="0" w:line="36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7ACB"/>
    <w:pPr>
      <w:keepNext/>
      <w:keepLines/>
      <w:spacing w:after="0" w:line="36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7ACB"/>
    <w:pPr>
      <w:keepNext/>
      <w:keepLines/>
      <w:spacing w:after="0" w:line="36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7E34"/>
    <w:rPr>
      <w:rFonts w:ascii="Times New Roman" w:eastAsiaTheme="majorEastAsia" w:hAnsi="Times New Roman" w:cstheme="majorBidi"/>
      <w:b/>
      <w:bCs/>
      <w:cap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D729E3"/>
    <w:rPr>
      <w:rFonts w:ascii="Times New Roman" w:eastAsiaTheme="majorEastAsia" w:hAnsi="Times New Roman" w:cstheme="majorBidi"/>
      <w:b/>
      <w:bCs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6B7ACB"/>
    <w:rPr>
      <w:rFonts w:eastAsiaTheme="majorEastAsia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6B7ACB"/>
    <w:rPr>
      <w:rFonts w:eastAsiaTheme="majorEastAsia" w:cstheme="majorBidi"/>
      <w:i/>
      <w:iCs/>
      <w:color w:val="0F4761" w:themeColor="accent1" w:themeShade="BF"/>
      <w:kern w:val="0"/>
      <w:sz w:val="28"/>
      <w:szCs w:val="22"/>
      <w:lang w:val="en-US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6B7ACB"/>
    <w:rPr>
      <w:rFonts w:eastAsiaTheme="majorEastAsia" w:cstheme="majorBidi"/>
      <w:color w:val="0F4761" w:themeColor="accent1" w:themeShade="BF"/>
      <w:kern w:val="0"/>
      <w:sz w:val="28"/>
      <w:szCs w:val="22"/>
      <w:lang w:val="en-US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6B7ACB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val="en-US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6B7ACB"/>
    <w:rPr>
      <w:rFonts w:eastAsiaTheme="majorEastAsia" w:cstheme="majorBidi"/>
      <w:color w:val="595959" w:themeColor="text1" w:themeTint="A6"/>
      <w:kern w:val="0"/>
      <w:sz w:val="28"/>
      <w:szCs w:val="22"/>
      <w:lang w:val="en-US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6B7ACB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val="en-US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6B7ACB"/>
    <w:rPr>
      <w:rFonts w:eastAsiaTheme="majorEastAsia" w:cstheme="majorBidi"/>
      <w:color w:val="272727" w:themeColor="text1" w:themeTint="D8"/>
      <w:kern w:val="0"/>
      <w:sz w:val="28"/>
      <w:szCs w:val="22"/>
      <w:lang w:val="en-US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6B7ACB"/>
    <w:pPr>
      <w:spacing w:after="0" w:line="360" w:lineRule="auto" w:before="0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6B7AC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6B7ACB"/>
    <w:pPr>
      <w:numPr>
        <w:ilvl w:val="1"/>
      </w:numPr>
      <w:spacing w:after="160" w:line="36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7AC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6B7ACB"/>
    <w:pPr>
      <w:spacing w:before="160" w:after="160" w:line="360" w:lineRule="auto"/>
      <w:jc w:val="center"/>
    </w:pPr>
    <w:rPr>
      <w:i/>
      <w:iCs/>
      <w:color w:val="404040" w:themeColor="text1" w:themeTint="BF"/>
      <w:sz w:val="28"/>
    </w:rPr>
  </w:style>
  <w:style w:type="character" w:customStyle="1" w:styleId="22">
    <w:name w:val="Цитата 2 Знак"/>
    <w:basedOn w:val="a0"/>
    <w:link w:val="21"/>
    <w:uiPriority w:val="29"/>
    <w:rsid w:val="006B7ACB"/>
    <w:rPr>
      <w:rFonts w:ascii="Times New Roman" w:eastAsiaTheme="minorEastAsia" w:hAnsi="Times New Roman"/>
      <w:i/>
      <w:iCs/>
      <w:color w:val="404040" w:themeColor="text1" w:themeTint="BF"/>
      <w:kern w:val="0"/>
      <w:sz w:val="28"/>
      <w:szCs w:val="22"/>
      <w:lang w:val="en-US"/>
      <w14:ligatures w14:val="none"/>
    </w:rPr>
  </w:style>
  <w:style w:type="paragraph" w:styleId="a7">
    <w:name w:val="List Paragraph"/>
    <w:basedOn w:val="a"/>
    <w:uiPriority w:val="34"/>
    <w:qFormat/>
    <w:rsid w:val="006B7ACB"/>
    <w:pPr>
      <w:spacing w:line="360" w:lineRule="auto"/>
      <w:ind w:left="720"/>
      <w:contextualSpacing/>
    </w:pPr>
    <w:rPr>
      <w:sz w:val="28"/>
    </w:rPr>
  </w:style>
  <w:style w:type="character" w:styleId="a8">
    <w:name w:val="Intense Emphasis"/>
    <w:basedOn w:val="a0"/>
    <w:uiPriority w:val="21"/>
    <w:qFormat/>
    <w:rsid w:val="006B7A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7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60" w:lineRule="auto"/>
      <w:ind w:left="864" w:right="864"/>
      <w:jc w:val="center"/>
    </w:pPr>
    <w:rPr>
      <w:i/>
      <w:iCs/>
      <w:color w:val="0F4761" w:themeColor="accent1" w:themeShade="BF"/>
      <w:sz w:val="28"/>
    </w:rPr>
  </w:style>
  <w:style w:type="character" w:customStyle="1" w:styleId="aa">
    <w:name w:val="Выделенная цитата Знак"/>
    <w:basedOn w:val="a0"/>
    <w:link w:val="a9"/>
    <w:uiPriority w:val="30"/>
    <w:rsid w:val="006B7ACB"/>
    <w:rPr>
      <w:rFonts w:ascii="Times New Roman" w:eastAsiaTheme="minorEastAsia" w:hAnsi="Times New Roman"/>
      <w:i/>
      <w:iCs/>
      <w:color w:val="0F4761" w:themeColor="accent1" w:themeShade="BF"/>
      <w:kern w:val="0"/>
      <w:sz w:val="28"/>
      <w:szCs w:val="22"/>
      <w:lang w:val="en-US"/>
      <w14:ligatures w14:val="none"/>
    </w:rPr>
  </w:style>
  <w:style w:type="character" w:styleId="ab">
    <w:name w:val="Intense Reference"/>
    <w:basedOn w:val="a0"/>
    <w:uiPriority w:val="32"/>
    <w:qFormat/>
    <w:rsid w:val="006B7ACB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99"/>
    <w:unhideWhenUsed/>
    <w:rsid w:val="00D1019A"/>
    <w:pPr>
      <w:spacing w:after="120"/>
    </w:pPr>
  </w:style>
  <w:style w:type="character" w:customStyle="1" w:styleId="ad">
    <w:name w:val="Основной текст Знак"/>
    <w:basedOn w:val="a0"/>
    <w:link w:val="ac"/>
    <w:uiPriority w:val="99"/>
    <w:rsid w:val="00D1019A"/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table" w:styleId="ae">
    <w:name w:val="Table Grid"/>
    <w:basedOn w:val="a1"/>
    <w:uiPriority w:val="59"/>
    <w:rsid w:val="00D1019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18</Pages>
  <Words>2840</Words>
  <Characters>16191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achipiga</dc:creator>
  <cp:keywords/>
  <dc:description/>
  <cp:lastModifiedBy>Азамат Фазлыев</cp:lastModifiedBy>
  <cp:revision>25</cp:revision>
  <dcterms:created xsi:type="dcterms:W3CDTF">2026-09-29T09:00:00Z</dcterms:created>
  <dcterms:modified xsi:type="dcterms:W3CDTF">2026-10-05T06:36:00Z</dcterms:modified>
</cp:coreProperties>
</file>