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316B" w14:textId="77777777" w:rsidR="001845A7" w:rsidRDefault="00000000">
      <w:pPr>
        <w:pStyle w:val="Ttulo"/>
      </w:pPr>
      <w:r>
        <w:t>Modelo de regresión logístico bayesiano</w:t>
      </w:r>
    </w:p>
    <w:p w14:paraId="58A8A179" w14:textId="77777777" w:rsidR="001845A7" w:rsidRDefault="00000000">
      <w:pPr>
        <w:pStyle w:val="Fecha"/>
      </w:pPr>
      <w:r>
        <w:t>2025-06-17</w:t>
      </w:r>
    </w:p>
    <w:p w14:paraId="5847835C" w14:textId="77777777" w:rsidR="001845A7" w:rsidRDefault="00000000">
      <w:pPr>
        <w:pStyle w:val="Ttulo1"/>
      </w:pPr>
      <w:bookmarkStart w:id="0" w:name="X75611ff9e24e500783a4b5b0b89d2d98cf454ad"/>
      <w:r>
        <w:t>Resultados modelo de regresión logístico 2</w:t>
      </w:r>
    </w:p>
    <w:p w14:paraId="4A87498C" w14:textId="77777777" w:rsidR="001845A7" w:rsidRDefault="00000000" w:rsidP="00D203BC">
      <w:pPr>
        <w:pStyle w:val="FirstParagraph"/>
        <w:jc w:val="both"/>
      </w:pPr>
      <w:r>
        <w:t xml:space="preserve">En este segundo modelo se mantiene como variable de respuesta la </w:t>
      </w:r>
      <w:r>
        <w:rPr>
          <w:b/>
          <w:bCs/>
        </w:rPr>
        <w:t>remisión a atención en salud mental</w:t>
      </w:r>
      <w:r>
        <w:t xml:space="preserve"> como en el modelo anterior, pero se realizaron dos modificaciones para mejorar la interpretación de los resultados y evitar posibles sesgos por categorías con pocos casos: se excluyó la variable </w:t>
      </w:r>
      <w:r>
        <w:rPr>
          <w:b/>
          <w:bCs/>
        </w:rPr>
        <w:t>tipo de seguridad social</w:t>
      </w:r>
      <w:r>
        <w:t xml:space="preserve"> y se reagruparon categorías de algunas variables predictoras para reducir su número de categorías, asi:</w:t>
      </w:r>
    </w:p>
    <w:p w14:paraId="431D53A1" w14:textId="77777777" w:rsidR="001845A7" w:rsidRDefault="00000000" w:rsidP="00D203BC">
      <w:pPr>
        <w:numPr>
          <w:ilvl w:val="0"/>
          <w:numId w:val="2"/>
        </w:numPr>
        <w:jc w:val="both"/>
      </w:pPr>
      <w:r>
        <w:t xml:space="preserve">En la variable </w:t>
      </w:r>
      <w:r>
        <w:rPr>
          <w:b/>
          <w:bCs/>
        </w:rPr>
        <w:t>escenario del hecho</w:t>
      </w:r>
      <w:r>
        <w:t xml:space="preserve">, se agruparon las categorías: </w:t>
      </w:r>
      <w:r>
        <w:rPr>
          <w:i/>
          <w:iCs/>
        </w:rPr>
        <w:t>área deportiva y recreativa, comercio y áreas de servicios, espacios abiertos, establecimiento educativo, institución de salud, lugar de trabajo, lugares de esparcimiento con expendio de alcohol, otro y vía pública</w:t>
      </w:r>
      <w:r>
        <w:t xml:space="preserve">, bajo una nueva categoría denominada </w:t>
      </w:r>
      <w:r>
        <w:rPr>
          <w:i/>
          <w:iCs/>
        </w:rPr>
        <w:t>espacio público y social</w:t>
      </w:r>
      <w:r>
        <w:t>.</w:t>
      </w:r>
    </w:p>
    <w:p w14:paraId="571E242C" w14:textId="77777777" w:rsidR="001845A7" w:rsidRDefault="00000000" w:rsidP="00D203BC">
      <w:pPr>
        <w:numPr>
          <w:ilvl w:val="0"/>
          <w:numId w:val="2"/>
        </w:numPr>
        <w:jc w:val="both"/>
      </w:pPr>
      <w:r>
        <w:t xml:space="preserve">En la variable </w:t>
      </w:r>
      <w:r>
        <w:rPr>
          <w:b/>
          <w:bCs/>
        </w:rPr>
        <w:t>parentesco con el agresor</w:t>
      </w:r>
      <w:r>
        <w:t xml:space="preserve">, se agregaron </w:t>
      </w:r>
      <w:r>
        <w:rPr>
          <w:i/>
          <w:iCs/>
        </w:rPr>
        <w:t>padre</w:t>
      </w:r>
      <w:r>
        <w:t xml:space="preserve"> y </w:t>
      </w:r>
      <w:r>
        <w:rPr>
          <w:i/>
          <w:iCs/>
        </w:rPr>
        <w:t>madre</w:t>
      </w:r>
      <w:r>
        <w:t xml:space="preserve"> en la categoría </w:t>
      </w:r>
      <w:r>
        <w:rPr>
          <w:i/>
          <w:iCs/>
        </w:rPr>
        <w:t>familiar</w:t>
      </w:r>
      <w:r>
        <w:t xml:space="preserve">; </w:t>
      </w:r>
      <w:r>
        <w:rPr>
          <w:i/>
          <w:iCs/>
        </w:rPr>
        <w:t>amigo</w:t>
      </w:r>
      <w:r>
        <w:t xml:space="preserve"> se convirtió a </w:t>
      </w:r>
      <w:r>
        <w:rPr>
          <w:i/>
          <w:iCs/>
        </w:rPr>
        <w:t>conocido</w:t>
      </w:r>
      <w:r>
        <w:t xml:space="preserve">; y el nivel </w:t>
      </w:r>
      <w:r>
        <w:rPr>
          <w:i/>
          <w:iCs/>
        </w:rPr>
        <w:t>otro</w:t>
      </w:r>
      <w:r>
        <w:t xml:space="preserve"> se integró con </w:t>
      </w:r>
      <w:r>
        <w:rPr>
          <w:i/>
          <w:iCs/>
        </w:rPr>
        <w:t>desconocido</w:t>
      </w:r>
      <w:r>
        <w:t>.</w:t>
      </w:r>
    </w:p>
    <w:p w14:paraId="3A5EA046" w14:textId="77777777" w:rsidR="001845A7" w:rsidRDefault="00000000" w:rsidP="00D203BC">
      <w:pPr>
        <w:pStyle w:val="FirstParagraph"/>
        <w:jc w:val="both"/>
      </w:pPr>
      <w:r>
        <w:t>Luego de estas modificaciones, los niveles de las variables predictoras cualitativas y su respectivo nivel de referencia en el modelo son:</w:t>
      </w:r>
    </w:p>
    <w:p w14:paraId="5B3773AC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Jefatura del hogar:</w:t>
      </w:r>
      <w:r>
        <w:t xml:space="preserve"> indica si la víctima era la persona responsable del hogar. El 95,1% (44.145) de las víctimas no eran mujeres cabeza de familia. </w:t>
      </w:r>
      <w:r>
        <w:rPr>
          <w:i/>
          <w:iCs/>
        </w:rPr>
        <w:t>Referencia:</w:t>
      </w:r>
      <w:r>
        <w:t xml:space="preserve"> No.</w:t>
      </w:r>
    </w:p>
    <w:p w14:paraId="795D69F1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Tipo de violencia:</w:t>
      </w:r>
      <w:r>
        <w:t xml:space="preserve"> indica el tipo de violencia ejercida sobre la víctima. Física (20.882; 45%), sexual (14.919; 32,2%), psicológica (6596; 14,2%) o negligencia o abandono (3976; 8.6%). </w:t>
      </w:r>
      <w:r>
        <w:rPr>
          <w:i/>
          <w:iCs/>
        </w:rPr>
        <w:t>Referencia:</w:t>
      </w:r>
      <w:r>
        <w:t xml:space="preserve"> Negligencia y abandono.</w:t>
      </w:r>
    </w:p>
    <w:p w14:paraId="0FB6484D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Área de ocurrencia:</w:t>
      </w:r>
      <w:r>
        <w:t xml:space="preserve"> indica si el área donde ocurrió el caso corresponde a una cabecera municipal (45.344; 97,8%), centro poblado (893; 1,9%) o zona rural dispersa (136; 0,3%). </w:t>
      </w:r>
      <w:r>
        <w:rPr>
          <w:i/>
          <w:iCs/>
        </w:rPr>
        <w:t>Referencia:</w:t>
      </w:r>
      <w:r>
        <w:t xml:space="preserve"> Cabecera municipal.</w:t>
      </w:r>
    </w:p>
    <w:p w14:paraId="5F006E4A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Sexo del agresor:</w:t>
      </w:r>
      <w:r>
        <w:t xml:space="preserve"> masculino (35.496; 76,5%), femenino (10.727; 23,1%) e intersexual (150; 0,3%). </w:t>
      </w:r>
      <w:r>
        <w:rPr>
          <w:i/>
          <w:iCs/>
        </w:rPr>
        <w:t>Referencia:</w:t>
      </w:r>
      <w:r>
        <w:t xml:space="preserve"> Intersexual.</w:t>
      </w:r>
    </w:p>
    <w:p w14:paraId="2E93EF31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Convivencia con agresor:</w:t>
      </w:r>
      <w:r>
        <w:t xml:space="preserve"> indica si la víctima convivía. El 57,2% (26.513) de las víctimas no convivían con él. </w:t>
      </w:r>
      <w:r>
        <w:rPr>
          <w:i/>
          <w:iCs/>
        </w:rPr>
        <w:t>Referencia:</w:t>
      </w:r>
      <w:r>
        <w:t xml:space="preserve"> No.</w:t>
      </w:r>
    </w:p>
    <w:p w14:paraId="7C4BEA43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lastRenderedPageBreak/>
        <w:t>Hospitalización:</w:t>
      </w:r>
      <w:r>
        <w:t xml:space="preserve"> indica si la víctima necesitó ser hospitalizada como consecuencia del hecho. El 89,2% (41.358) no fue hospitalizada. </w:t>
      </w:r>
      <w:r>
        <w:rPr>
          <w:i/>
          <w:iCs/>
        </w:rPr>
        <w:t>Referencia:</w:t>
      </w:r>
      <w:r>
        <w:t xml:space="preserve"> No.</w:t>
      </w:r>
    </w:p>
    <w:p w14:paraId="076706C7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Escenario del hecho:</w:t>
      </w:r>
      <w:r>
        <w:t xml:space="preserve"> Se refiere al tipo de lugar donde ocurrió la agresión, vivienda (32.345; 69,75%) y espacio público y social (14028; 30.25%). </w:t>
      </w:r>
      <w:r>
        <w:rPr>
          <w:i/>
          <w:iCs/>
        </w:rPr>
        <w:t>Referencia:</w:t>
      </w:r>
      <w:r>
        <w:t xml:space="preserve"> Espacio público y social.</w:t>
      </w:r>
    </w:p>
    <w:p w14:paraId="167BAC47" w14:textId="77777777" w:rsidR="001845A7" w:rsidRDefault="00000000" w:rsidP="00D203BC">
      <w:pPr>
        <w:numPr>
          <w:ilvl w:val="0"/>
          <w:numId w:val="3"/>
        </w:numPr>
        <w:jc w:val="both"/>
      </w:pPr>
      <w:r>
        <w:rPr>
          <w:b/>
          <w:bCs/>
        </w:rPr>
        <w:t>Parentesco agresor:</w:t>
      </w:r>
      <w:r>
        <w:t xml:space="preserve"> indica el tipo de vínculo o relación de la víctima con el agresor. Entre ellas se encuentra: pareja(12.433; 26,8%), familiar(16.011; 34,5%), ex-pareja(4.664; 10,1%), conocido(5.821; 12,6%), desconocido(7.444; 16,1%). </w:t>
      </w:r>
      <w:r>
        <w:rPr>
          <w:i/>
          <w:iCs/>
        </w:rPr>
        <w:t>Referencia:</w:t>
      </w:r>
      <w:r>
        <w:t xml:space="preserve"> desconocido(a).</w:t>
      </w:r>
    </w:p>
    <w:p w14:paraId="218CEB2C" w14:textId="77777777" w:rsidR="001845A7" w:rsidRDefault="00000000" w:rsidP="00D203BC">
      <w:pPr>
        <w:pStyle w:val="FirstParagraph"/>
        <w:jc w:val="both"/>
      </w:pPr>
      <w:r>
        <w:t>A continuación se presentan las razones de odds estimadas para todas las variables del modelo, pero es importante tener en cuenta que las categorías de sexo masculino y parentesco conocido no dieron significativas, es decir, no se asocian con mayor ni menor probabilidad de recibir atención en salud mental, comparado con el sexo intersexual y agresor desconocido, respectivamente. Por lo tanto, la interpretación de odds ratios para estas categorías no es relevante:</w:t>
      </w:r>
    </w:p>
    <w:tbl>
      <w:tblPr>
        <w:tblStyle w:val="Table"/>
        <w:tblW w:w="4696" w:type="pct"/>
        <w:tblInd w:w="250" w:type="dxa"/>
        <w:tblLayout w:type="fixed"/>
        <w:tblLook w:val="0020" w:firstRow="1" w:lastRow="0" w:firstColumn="0" w:lastColumn="0" w:noHBand="0" w:noVBand="0"/>
      </w:tblPr>
      <w:tblGrid>
        <w:gridCol w:w="1701"/>
        <w:gridCol w:w="1701"/>
        <w:gridCol w:w="851"/>
        <w:gridCol w:w="1417"/>
        <w:gridCol w:w="2049"/>
        <w:gridCol w:w="785"/>
      </w:tblGrid>
      <w:tr w:rsidR="001845A7" w14:paraId="2447FB31" w14:textId="77777777" w:rsidTr="005F5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3626C67C" w14:textId="77777777" w:rsidR="001845A7" w:rsidRDefault="00000000">
            <w:pPr>
              <w:pStyle w:val="Compact"/>
            </w:pPr>
            <w:proofErr w:type="spellStart"/>
            <w:r>
              <w:t>Parámetro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899522D" w14:textId="77777777" w:rsidR="001845A7" w:rsidRDefault="00000000">
            <w:pPr>
              <w:pStyle w:val="Compact"/>
            </w:pPr>
            <w:r>
              <w:t>Categoría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CF234A0" w14:textId="77777777" w:rsidR="001845A7" w:rsidRDefault="00000000">
            <w:pPr>
              <w:pStyle w:val="Compact"/>
              <w:jc w:val="right"/>
            </w:pPr>
            <w:r>
              <w:t>Odds Ratio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D9EBBD" w14:textId="77777777" w:rsidR="001845A7" w:rsidRDefault="00000000">
            <w:pPr>
              <w:pStyle w:val="Compact"/>
            </w:pPr>
            <w:r>
              <w:t>Parámetro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2D359731" w14:textId="77777777" w:rsidR="001845A7" w:rsidRDefault="00000000">
            <w:pPr>
              <w:pStyle w:val="Compact"/>
            </w:pPr>
            <w:r>
              <w:t>Categoría</w:t>
            </w:r>
          </w:p>
        </w:tc>
        <w:tc>
          <w:tcPr>
            <w:tcW w:w="785" w:type="dxa"/>
            <w:tcBorders>
              <w:bottom w:val="single" w:sz="4" w:space="0" w:color="auto"/>
            </w:tcBorders>
          </w:tcPr>
          <w:p w14:paraId="7BF5EB12" w14:textId="77777777" w:rsidR="001845A7" w:rsidRDefault="00000000">
            <w:pPr>
              <w:pStyle w:val="Compact"/>
              <w:jc w:val="right"/>
            </w:pPr>
            <w:r>
              <w:t>Odds Ratio</w:t>
            </w:r>
          </w:p>
        </w:tc>
      </w:tr>
      <w:tr w:rsidR="001845A7" w14:paraId="20502130" w14:textId="77777777" w:rsidTr="005F5FB3">
        <w:tc>
          <w:tcPr>
            <w:tcW w:w="1701" w:type="dxa"/>
            <w:tcBorders>
              <w:top w:val="single" w:sz="4" w:space="0" w:color="auto"/>
            </w:tcBorders>
          </w:tcPr>
          <w:p w14:paraId="787C3EC5" w14:textId="77777777" w:rsidR="001845A7" w:rsidRDefault="00000000">
            <w:pPr>
              <w:pStyle w:val="Compact"/>
            </w:pPr>
            <w:r>
              <w:t>β1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180FFB4" w14:textId="77777777" w:rsidR="001845A7" w:rsidRDefault="00000000">
            <w:pPr>
              <w:pStyle w:val="Compact"/>
            </w:pPr>
            <w:r>
              <w:t>Edad víctima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CDE8B35" w14:textId="77777777" w:rsidR="001845A7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08F62E4" w14:textId="77777777" w:rsidR="001845A7" w:rsidRDefault="00000000">
            <w:pPr>
              <w:pStyle w:val="Compact"/>
            </w:pPr>
            <w:r>
              <w:t>β14</w:t>
            </w:r>
          </w:p>
        </w:tc>
        <w:tc>
          <w:tcPr>
            <w:tcW w:w="2049" w:type="dxa"/>
            <w:tcBorders>
              <w:top w:val="single" w:sz="4" w:space="0" w:color="auto"/>
            </w:tcBorders>
          </w:tcPr>
          <w:p w14:paraId="77D1C195" w14:textId="77777777" w:rsidR="001845A7" w:rsidRDefault="00000000">
            <w:pPr>
              <w:pStyle w:val="Compact"/>
            </w:pPr>
            <w:r>
              <w:t>Convivencia agresor</w:t>
            </w:r>
          </w:p>
        </w:tc>
        <w:tc>
          <w:tcPr>
            <w:tcW w:w="785" w:type="dxa"/>
            <w:tcBorders>
              <w:top w:val="single" w:sz="4" w:space="0" w:color="auto"/>
            </w:tcBorders>
          </w:tcPr>
          <w:p w14:paraId="44FC5B87" w14:textId="77777777" w:rsidR="001845A7" w:rsidRDefault="00000000">
            <w:pPr>
              <w:pStyle w:val="Compact"/>
              <w:jc w:val="right"/>
            </w:pPr>
            <w:r>
              <w:t>0.91</w:t>
            </w:r>
          </w:p>
        </w:tc>
      </w:tr>
      <w:tr w:rsidR="001845A7" w14:paraId="50674B74" w14:textId="77777777" w:rsidTr="005F5FB3">
        <w:tc>
          <w:tcPr>
            <w:tcW w:w="1701" w:type="dxa"/>
          </w:tcPr>
          <w:p w14:paraId="3D15EB6E" w14:textId="77777777" w:rsidR="001845A7" w:rsidRDefault="00000000">
            <w:pPr>
              <w:pStyle w:val="Compact"/>
            </w:pPr>
            <w:r>
              <w:t>β2</w:t>
            </w:r>
          </w:p>
        </w:tc>
        <w:tc>
          <w:tcPr>
            <w:tcW w:w="1701" w:type="dxa"/>
          </w:tcPr>
          <w:p w14:paraId="0CF5AF42" w14:textId="77777777" w:rsidR="001845A7" w:rsidRDefault="00000000">
            <w:pPr>
              <w:pStyle w:val="Compact"/>
            </w:pPr>
            <w:r>
              <w:t>Jefatura hogar</w:t>
            </w:r>
          </w:p>
        </w:tc>
        <w:tc>
          <w:tcPr>
            <w:tcW w:w="851" w:type="dxa"/>
          </w:tcPr>
          <w:p w14:paraId="485137B7" w14:textId="77777777" w:rsidR="001845A7" w:rsidRDefault="00000000">
            <w:pPr>
              <w:pStyle w:val="Compact"/>
              <w:jc w:val="right"/>
            </w:pPr>
            <w:r>
              <w:t>2.60</w:t>
            </w:r>
          </w:p>
        </w:tc>
        <w:tc>
          <w:tcPr>
            <w:tcW w:w="1417" w:type="dxa"/>
          </w:tcPr>
          <w:p w14:paraId="6ED33EEB" w14:textId="77777777" w:rsidR="001845A7" w:rsidRDefault="00000000">
            <w:pPr>
              <w:pStyle w:val="Compact"/>
            </w:pPr>
            <w:r>
              <w:t>β15</w:t>
            </w:r>
          </w:p>
        </w:tc>
        <w:tc>
          <w:tcPr>
            <w:tcW w:w="2049" w:type="dxa"/>
          </w:tcPr>
          <w:p w14:paraId="3921BC9A" w14:textId="77777777" w:rsidR="001845A7" w:rsidRDefault="00000000">
            <w:pPr>
              <w:pStyle w:val="Compact"/>
            </w:pPr>
            <w:r>
              <w:t>Hospitalización</w:t>
            </w:r>
          </w:p>
        </w:tc>
        <w:tc>
          <w:tcPr>
            <w:tcW w:w="785" w:type="dxa"/>
          </w:tcPr>
          <w:p w14:paraId="5E4D23E7" w14:textId="77777777" w:rsidR="001845A7" w:rsidRDefault="00000000">
            <w:pPr>
              <w:pStyle w:val="Compact"/>
              <w:jc w:val="right"/>
            </w:pPr>
            <w:r>
              <w:t>8.04</w:t>
            </w:r>
          </w:p>
        </w:tc>
      </w:tr>
      <w:tr w:rsidR="001845A7" w14:paraId="094896DF" w14:textId="77777777" w:rsidTr="005F5FB3">
        <w:tc>
          <w:tcPr>
            <w:tcW w:w="1701" w:type="dxa"/>
          </w:tcPr>
          <w:p w14:paraId="25C6889E" w14:textId="77777777" w:rsidR="001845A7" w:rsidRDefault="00000000">
            <w:pPr>
              <w:pStyle w:val="Compact"/>
            </w:pPr>
            <w:r>
              <w:t>β3</w:t>
            </w:r>
          </w:p>
        </w:tc>
        <w:tc>
          <w:tcPr>
            <w:tcW w:w="1701" w:type="dxa"/>
          </w:tcPr>
          <w:p w14:paraId="4C73E951" w14:textId="77777777" w:rsidR="001845A7" w:rsidRDefault="00000000">
            <w:pPr>
              <w:pStyle w:val="Compact"/>
            </w:pPr>
            <w:r>
              <w:t>V.física</w:t>
            </w:r>
          </w:p>
        </w:tc>
        <w:tc>
          <w:tcPr>
            <w:tcW w:w="851" w:type="dxa"/>
          </w:tcPr>
          <w:p w14:paraId="15CAB30D" w14:textId="77777777" w:rsidR="001845A7" w:rsidRDefault="00000000">
            <w:pPr>
              <w:pStyle w:val="Compact"/>
              <w:jc w:val="right"/>
            </w:pPr>
            <w:r>
              <w:t>4.03</w:t>
            </w:r>
          </w:p>
        </w:tc>
        <w:tc>
          <w:tcPr>
            <w:tcW w:w="1417" w:type="dxa"/>
          </w:tcPr>
          <w:p w14:paraId="1C43BF69" w14:textId="77777777" w:rsidR="001845A7" w:rsidRDefault="00000000">
            <w:pPr>
              <w:pStyle w:val="Compact"/>
            </w:pPr>
            <w:r>
              <w:t>β16</w:t>
            </w:r>
          </w:p>
        </w:tc>
        <w:tc>
          <w:tcPr>
            <w:tcW w:w="2049" w:type="dxa"/>
          </w:tcPr>
          <w:p w14:paraId="6E12CFC5" w14:textId="77777777" w:rsidR="001845A7" w:rsidRDefault="00000000">
            <w:pPr>
              <w:pStyle w:val="Compact"/>
            </w:pPr>
            <w:r>
              <w:t>Esc. Espacio público y social</w:t>
            </w:r>
          </w:p>
        </w:tc>
        <w:tc>
          <w:tcPr>
            <w:tcW w:w="785" w:type="dxa"/>
          </w:tcPr>
          <w:p w14:paraId="62B9B459" w14:textId="77777777" w:rsidR="001845A7" w:rsidRDefault="00000000">
            <w:pPr>
              <w:pStyle w:val="Compact"/>
              <w:jc w:val="right"/>
            </w:pPr>
            <w:r>
              <w:t>1.41</w:t>
            </w:r>
          </w:p>
        </w:tc>
      </w:tr>
      <w:tr w:rsidR="001845A7" w14:paraId="32D23A40" w14:textId="77777777" w:rsidTr="005F5FB3">
        <w:tc>
          <w:tcPr>
            <w:tcW w:w="1701" w:type="dxa"/>
          </w:tcPr>
          <w:p w14:paraId="40D0A900" w14:textId="77777777" w:rsidR="001845A7" w:rsidRDefault="00000000">
            <w:pPr>
              <w:pStyle w:val="Compact"/>
            </w:pPr>
            <w:r>
              <w:t>β4</w:t>
            </w:r>
          </w:p>
        </w:tc>
        <w:tc>
          <w:tcPr>
            <w:tcW w:w="1701" w:type="dxa"/>
          </w:tcPr>
          <w:p w14:paraId="1FF0437D" w14:textId="77777777" w:rsidR="001845A7" w:rsidRDefault="00000000">
            <w:pPr>
              <w:pStyle w:val="Compact"/>
            </w:pPr>
            <w:r>
              <w:t>V.psicológica</w:t>
            </w:r>
          </w:p>
        </w:tc>
        <w:tc>
          <w:tcPr>
            <w:tcW w:w="851" w:type="dxa"/>
          </w:tcPr>
          <w:p w14:paraId="5F59C7C2" w14:textId="77777777" w:rsidR="001845A7" w:rsidRDefault="00000000">
            <w:pPr>
              <w:pStyle w:val="Compact"/>
              <w:jc w:val="right"/>
            </w:pPr>
            <w:r>
              <w:t>1.50</w:t>
            </w:r>
          </w:p>
        </w:tc>
        <w:tc>
          <w:tcPr>
            <w:tcW w:w="1417" w:type="dxa"/>
          </w:tcPr>
          <w:p w14:paraId="125143E8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52A6DA5F" w14:textId="6CEF5930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6614461A" w14:textId="2A24DE1D" w:rsidR="001845A7" w:rsidRDefault="001845A7">
            <w:pPr>
              <w:pStyle w:val="Compact"/>
              <w:jc w:val="right"/>
            </w:pPr>
          </w:p>
        </w:tc>
      </w:tr>
      <w:tr w:rsidR="001845A7" w14:paraId="71F7134D" w14:textId="77777777" w:rsidTr="005F5FB3">
        <w:tc>
          <w:tcPr>
            <w:tcW w:w="1701" w:type="dxa"/>
          </w:tcPr>
          <w:p w14:paraId="461164D1" w14:textId="77777777" w:rsidR="001845A7" w:rsidRDefault="00000000">
            <w:pPr>
              <w:pStyle w:val="Compact"/>
            </w:pPr>
            <w:r>
              <w:t>β5</w:t>
            </w:r>
          </w:p>
        </w:tc>
        <w:tc>
          <w:tcPr>
            <w:tcW w:w="1701" w:type="dxa"/>
          </w:tcPr>
          <w:p w14:paraId="24558F47" w14:textId="77777777" w:rsidR="001845A7" w:rsidRDefault="00000000">
            <w:pPr>
              <w:pStyle w:val="Compact"/>
            </w:pPr>
            <w:r>
              <w:t>V.sexual</w:t>
            </w:r>
          </w:p>
        </w:tc>
        <w:tc>
          <w:tcPr>
            <w:tcW w:w="851" w:type="dxa"/>
          </w:tcPr>
          <w:p w14:paraId="0166591C" w14:textId="77777777" w:rsidR="001845A7" w:rsidRDefault="00000000">
            <w:pPr>
              <w:pStyle w:val="Compact"/>
              <w:jc w:val="right"/>
            </w:pPr>
            <w:r>
              <w:t>42.91</w:t>
            </w:r>
          </w:p>
        </w:tc>
        <w:tc>
          <w:tcPr>
            <w:tcW w:w="1417" w:type="dxa"/>
          </w:tcPr>
          <w:p w14:paraId="4E753122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00EAB468" w14:textId="13ADFB67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4717AA8F" w14:textId="6E7C2E19" w:rsidR="001845A7" w:rsidRDefault="001845A7">
            <w:pPr>
              <w:pStyle w:val="Compact"/>
              <w:jc w:val="right"/>
            </w:pPr>
          </w:p>
        </w:tc>
      </w:tr>
      <w:tr w:rsidR="001845A7" w14:paraId="0B3377A9" w14:textId="77777777" w:rsidTr="005F5FB3">
        <w:tc>
          <w:tcPr>
            <w:tcW w:w="1701" w:type="dxa"/>
          </w:tcPr>
          <w:p w14:paraId="2EAC7718" w14:textId="77777777" w:rsidR="001845A7" w:rsidRDefault="00000000">
            <w:pPr>
              <w:pStyle w:val="Compact"/>
            </w:pPr>
            <w:r>
              <w:t>β6</w:t>
            </w:r>
          </w:p>
        </w:tc>
        <w:tc>
          <w:tcPr>
            <w:tcW w:w="1701" w:type="dxa"/>
          </w:tcPr>
          <w:p w14:paraId="2961B2F4" w14:textId="77777777" w:rsidR="001845A7" w:rsidRDefault="00000000">
            <w:pPr>
              <w:pStyle w:val="Compact"/>
            </w:pPr>
            <w:r>
              <w:t>Área:centro poblado</w:t>
            </w:r>
          </w:p>
        </w:tc>
        <w:tc>
          <w:tcPr>
            <w:tcW w:w="851" w:type="dxa"/>
          </w:tcPr>
          <w:p w14:paraId="241B0F50" w14:textId="77777777" w:rsidR="001845A7" w:rsidRDefault="00000000">
            <w:pPr>
              <w:pStyle w:val="Compact"/>
              <w:jc w:val="right"/>
            </w:pPr>
            <w:r>
              <w:t>1.78</w:t>
            </w:r>
          </w:p>
        </w:tc>
        <w:tc>
          <w:tcPr>
            <w:tcW w:w="1417" w:type="dxa"/>
          </w:tcPr>
          <w:p w14:paraId="3D272D48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2300E5FF" w14:textId="4AF54007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74841C02" w14:textId="2D015990" w:rsidR="001845A7" w:rsidRDefault="001845A7">
            <w:pPr>
              <w:pStyle w:val="Compact"/>
              <w:jc w:val="right"/>
            </w:pPr>
          </w:p>
        </w:tc>
      </w:tr>
      <w:tr w:rsidR="001845A7" w14:paraId="369C6F6B" w14:textId="77777777" w:rsidTr="005F5FB3">
        <w:tc>
          <w:tcPr>
            <w:tcW w:w="1701" w:type="dxa"/>
          </w:tcPr>
          <w:p w14:paraId="5082367B" w14:textId="77777777" w:rsidR="001845A7" w:rsidRDefault="00000000">
            <w:pPr>
              <w:pStyle w:val="Compact"/>
            </w:pPr>
            <w:r>
              <w:t>β7</w:t>
            </w:r>
          </w:p>
        </w:tc>
        <w:tc>
          <w:tcPr>
            <w:tcW w:w="1701" w:type="dxa"/>
          </w:tcPr>
          <w:p w14:paraId="2E70ED58" w14:textId="77777777" w:rsidR="001845A7" w:rsidRDefault="00000000">
            <w:pPr>
              <w:pStyle w:val="Compact"/>
            </w:pPr>
            <w:r>
              <w:t>Área:rural disperso</w:t>
            </w:r>
          </w:p>
        </w:tc>
        <w:tc>
          <w:tcPr>
            <w:tcW w:w="851" w:type="dxa"/>
          </w:tcPr>
          <w:p w14:paraId="3D4E0895" w14:textId="77777777" w:rsidR="001845A7" w:rsidRDefault="00000000">
            <w:pPr>
              <w:pStyle w:val="Compact"/>
              <w:jc w:val="right"/>
            </w:pPr>
            <w:r>
              <w:t>1.80</w:t>
            </w:r>
          </w:p>
        </w:tc>
        <w:tc>
          <w:tcPr>
            <w:tcW w:w="1417" w:type="dxa"/>
          </w:tcPr>
          <w:p w14:paraId="75AC1E22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670CEEAB" w14:textId="2C7F93BA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762CFABF" w14:textId="27D5B31E" w:rsidR="001845A7" w:rsidRDefault="001845A7">
            <w:pPr>
              <w:pStyle w:val="Compact"/>
              <w:jc w:val="right"/>
            </w:pPr>
          </w:p>
        </w:tc>
      </w:tr>
      <w:tr w:rsidR="001845A7" w14:paraId="0F02518A" w14:textId="77777777" w:rsidTr="005F5FB3">
        <w:tc>
          <w:tcPr>
            <w:tcW w:w="1701" w:type="dxa"/>
          </w:tcPr>
          <w:p w14:paraId="2A6B236E" w14:textId="77777777" w:rsidR="001845A7" w:rsidRDefault="00000000">
            <w:pPr>
              <w:pStyle w:val="Compact"/>
            </w:pPr>
            <w:r>
              <w:t>β8</w:t>
            </w:r>
          </w:p>
        </w:tc>
        <w:tc>
          <w:tcPr>
            <w:tcW w:w="1701" w:type="dxa"/>
          </w:tcPr>
          <w:p w14:paraId="6B3AF858" w14:textId="77777777" w:rsidR="001845A7" w:rsidRDefault="00000000">
            <w:pPr>
              <w:pStyle w:val="Compact"/>
            </w:pPr>
            <w:r>
              <w:t>Agresor femenino</w:t>
            </w:r>
          </w:p>
        </w:tc>
        <w:tc>
          <w:tcPr>
            <w:tcW w:w="851" w:type="dxa"/>
          </w:tcPr>
          <w:p w14:paraId="50562973" w14:textId="77777777" w:rsidR="001845A7" w:rsidRDefault="00000000">
            <w:pPr>
              <w:pStyle w:val="Compact"/>
              <w:jc w:val="right"/>
            </w:pPr>
            <w:r>
              <w:t>0.45</w:t>
            </w:r>
          </w:p>
        </w:tc>
        <w:tc>
          <w:tcPr>
            <w:tcW w:w="1417" w:type="dxa"/>
          </w:tcPr>
          <w:p w14:paraId="148106C2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34ECFC1F" w14:textId="51AD46B4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0290FB38" w14:textId="4C455C84" w:rsidR="001845A7" w:rsidRDefault="001845A7">
            <w:pPr>
              <w:pStyle w:val="Compact"/>
              <w:jc w:val="right"/>
            </w:pPr>
          </w:p>
        </w:tc>
      </w:tr>
      <w:tr w:rsidR="001845A7" w14:paraId="02A508CF" w14:textId="77777777" w:rsidTr="005F5FB3">
        <w:tc>
          <w:tcPr>
            <w:tcW w:w="1701" w:type="dxa"/>
          </w:tcPr>
          <w:p w14:paraId="66FEC578" w14:textId="77777777" w:rsidR="001845A7" w:rsidRDefault="00000000">
            <w:pPr>
              <w:pStyle w:val="Compact"/>
            </w:pPr>
            <w:r>
              <w:t>β9</w:t>
            </w:r>
          </w:p>
        </w:tc>
        <w:tc>
          <w:tcPr>
            <w:tcW w:w="1701" w:type="dxa"/>
          </w:tcPr>
          <w:p w14:paraId="56EA6F20" w14:textId="77777777" w:rsidR="001845A7" w:rsidRDefault="00000000">
            <w:pPr>
              <w:pStyle w:val="Compact"/>
            </w:pPr>
            <w:r>
              <w:t>Agresor Masculino</w:t>
            </w:r>
          </w:p>
        </w:tc>
        <w:tc>
          <w:tcPr>
            <w:tcW w:w="851" w:type="dxa"/>
          </w:tcPr>
          <w:p w14:paraId="7AB5F2FE" w14:textId="77777777" w:rsidR="001845A7" w:rsidRDefault="00000000">
            <w:pPr>
              <w:pStyle w:val="Compact"/>
              <w:jc w:val="right"/>
            </w:pPr>
            <w:r>
              <w:t>1.05</w:t>
            </w:r>
          </w:p>
        </w:tc>
        <w:tc>
          <w:tcPr>
            <w:tcW w:w="1417" w:type="dxa"/>
          </w:tcPr>
          <w:p w14:paraId="3137E858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48D94B5D" w14:textId="2A0F20CE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532D0EFE" w14:textId="1BFB0CE5" w:rsidR="001845A7" w:rsidRDefault="001845A7">
            <w:pPr>
              <w:pStyle w:val="Compact"/>
              <w:jc w:val="right"/>
            </w:pPr>
          </w:p>
        </w:tc>
      </w:tr>
      <w:tr w:rsidR="001845A7" w14:paraId="2601A418" w14:textId="77777777" w:rsidTr="005F5FB3">
        <w:tc>
          <w:tcPr>
            <w:tcW w:w="1701" w:type="dxa"/>
          </w:tcPr>
          <w:p w14:paraId="104F9B35" w14:textId="77777777" w:rsidR="001845A7" w:rsidRDefault="00000000">
            <w:pPr>
              <w:pStyle w:val="Compact"/>
            </w:pPr>
            <w:r>
              <w:t>β10</w:t>
            </w:r>
          </w:p>
        </w:tc>
        <w:tc>
          <w:tcPr>
            <w:tcW w:w="1701" w:type="dxa"/>
          </w:tcPr>
          <w:p w14:paraId="590207F6" w14:textId="77777777" w:rsidR="001845A7" w:rsidRDefault="00000000">
            <w:pPr>
              <w:pStyle w:val="Compact"/>
            </w:pPr>
            <w:r>
              <w:t>Pareja</w:t>
            </w:r>
          </w:p>
        </w:tc>
        <w:tc>
          <w:tcPr>
            <w:tcW w:w="851" w:type="dxa"/>
          </w:tcPr>
          <w:p w14:paraId="3DF852B1" w14:textId="77777777" w:rsidR="001845A7" w:rsidRDefault="00000000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1417" w:type="dxa"/>
          </w:tcPr>
          <w:p w14:paraId="7A892079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79AFA96E" w14:textId="057751F1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6303DB51" w14:textId="092A77F9" w:rsidR="001845A7" w:rsidRDefault="001845A7">
            <w:pPr>
              <w:pStyle w:val="Compact"/>
              <w:jc w:val="right"/>
            </w:pPr>
          </w:p>
        </w:tc>
      </w:tr>
      <w:tr w:rsidR="001845A7" w14:paraId="35D27888" w14:textId="77777777" w:rsidTr="005F5FB3">
        <w:tc>
          <w:tcPr>
            <w:tcW w:w="1701" w:type="dxa"/>
          </w:tcPr>
          <w:p w14:paraId="2800F540" w14:textId="77777777" w:rsidR="001845A7" w:rsidRDefault="00000000">
            <w:pPr>
              <w:pStyle w:val="Compact"/>
            </w:pPr>
            <w:r>
              <w:t>β11</w:t>
            </w:r>
          </w:p>
        </w:tc>
        <w:tc>
          <w:tcPr>
            <w:tcW w:w="1701" w:type="dxa"/>
          </w:tcPr>
          <w:p w14:paraId="47CD6B7F" w14:textId="77777777" w:rsidR="001845A7" w:rsidRDefault="00000000">
            <w:pPr>
              <w:pStyle w:val="Compact"/>
            </w:pPr>
            <w:r>
              <w:t>Familiar</w:t>
            </w:r>
          </w:p>
        </w:tc>
        <w:tc>
          <w:tcPr>
            <w:tcW w:w="851" w:type="dxa"/>
          </w:tcPr>
          <w:p w14:paraId="2EA1B969" w14:textId="77777777" w:rsidR="001845A7" w:rsidRDefault="00000000">
            <w:pPr>
              <w:pStyle w:val="Compact"/>
              <w:jc w:val="right"/>
            </w:pPr>
            <w:r>
              <w:t>0.72</w:t>
            </w:r>
          </w:p>
        </w:tc>
        <w:tc>
          <w:tcPr>
            <w:tcW w:w="1417" w:type="dxa"/>
          </w:tcPr>
          <w:p w14:paraId="0D52B58F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390BDC35" w14:textId="09ECB3FF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170BAC02" w14:textId="3D494993" w:rsidR="001845A7" w:rsidRDefault="001845A7">
            <w:pPr>
              <w:pStyle w:val="Compact"/>
              <w:jc w:val="right"/>
            </w:pPr>
          </w:p>
        </w:tc>
      </w:tr>
      <w:tr w:rsidR="001845A7" w14:paraId="4A45DC65" w14:textId="77777777" w:rsidTr="005F5FB3">
        <w:tc>
          <w:tcPr>
            <w:tcW w:w="1701" w:type="dxa"/>
          </w:tcPr>
          <w:p w14:paraId="6666CEE6" w14:textId="77777777" w:rsidR="001845A7" w:rsidRDefault="00000000">
            <w:pPr>
              <w:pStyle w:val="Compact"/>
            </w:pPr>
            <w:r>
              <w:t>β12</w:t>
            </w:r>
          </w:p>
        </w:tc>
        <w:tc>
          <w:tcPr>
            <w:tcW w:w="1701" w:type="dxa"/>
          </w:tcPr>
          <w:p w14:paraId="111C3110" w14:textId="77777777" w:rsidR="001845A7" w:rsidRDefault="00000000">
            <w:pPr>
              <w:pStyle w:val="Compact"/>
            </w:pPr>
            <w:r>
              <w:t>Ex-pareja</w:t>
            </w:r>
          </w:p>
        </w:tc>
        <w:tc>
          <w:tcPr>
            <w:tcW w:w="851" w:type="dxa"/>
          </w:tcPr>
          <w:p w14:paraId="0192EEAF" w14:textId="77777777" w:rsidR="001845A7" w:rsidRDefault="00000000">
            <w:pPr>
              <w:pStyle w:val="Compact"/>
              <w:jc w:val="right"/>
            </w:pPr>
            <w:r>
              <w:t>0.88</w:t>
            </w:r>
          </w:p>
        </w:tc>
        <w:tc>
          <w:tcPr>
            <w:tcW w:w="1417" w:type="dxa"/>
          </w:tcPr>
          <w:p w14:paraId="7CDB6811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083452BC" w14:textId="23D5B100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5A56AD5E" w14:textId="3F985622" w:rsidR="001845A7" w:rsidRDefault="001845A7">
            <w:pPr>
              <w:pStyle w:val="Compact"/>
              <w:jc w:val="right"/>
            </w:pPr>
          </w:p>
        </w:tc>
      </w:tr>
      <w:tr w:rsidR="001845A7" w14:paraId="6F0BB03E" w14:textId="77777777" w:rsidTr="005F5FB3">
        <w:tc>
          <w:tcPr>
            <w:tcW w:w="1701" w:type="dxa"/>
          </w:tcPr>
          <w:p w14:paraId="7524E215" w14:textId="77777777" w:rsidR="001845A7" w:rsidRDefault="00000000">
            <w:pPr>
              <w:pStyle w:val="Compact"/>
            </w:pPr>
            <w:r>
              <w:t>β13</w:t>
            </w:r>
          </w:p>
        </w:tc>
        <w:tc>
          <w:tcPr>
            <w:tcW w:w="1701" w:type="dxa"/>
          </w:tcPr>
          <w:p w14:paraId="23024634" w14:textId="77777777" w:rsidR="001845A7" w:rsidRDefault="00000000">
            <w:pPr>
              <w:pStyle w:val="Compact"/>
            </w:pPr>
            <w:r>
              <w:t>Conocido(a)</w:t>
            </w:r>
          </w:p>
        </w:tc>
        <w:tc>
          <w:tcPr>
            <w:tcW w:w="851" w:type="dxa"/>
          </w:tcPr>
          <w:p w14:paraId="294BF50F" w14:textId="77777777" w:rsidR="001845A7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1417" w:type="dxa"/>
          </w:tcPr>
          <w:p w14:paraId="620514D1" w14:textId="77777777" w:rsidR="001845A7" w:rsidRDefault="001845A7">
            <w:pPr>
              <w:pStyle w:val="Compact"/>
            </w:pPr>
          </w:p>
        </w:tc>
        <w:tc>
          <w:tcPr>
            <w:tcW w:w="2049" w:type="dxa"/>
          </w:tcPr>
          <w:p w14:paraId="77FC83FE" w14:textId="4B8BA2E6" w:rsidR="001845A7" w:rsidRDefault="001845A7">
            <w:pPr>
              <w:pStyle w:val="Compact"/>
            </w:pPr>
          </w:p>
        </w:tc>
        <w:tc>
          <w:tcPr>
            <w:tcW w:w="785" w:type="dxa"/>
          </w:tcPr>
          <w:p w14:paraId="2D60A0F5" w14:textId="522D2600" w:rsidR="001845A7" w:rsidRDefault="001845A7">
            <w:pPr>
              <w:pStyle w:val="Compact"/>
              <w:jc w:val="right"/>
            </w:pPr>
          </w:p>
        </w:tc>
      </w:tr>
    </w:tbl>
    <w:p w14:paraId="2E75212D" w14:textId="77777777" w:rsidR="001845A7" w:rsidRDefault="00000000" w:rsidP="00D203BC">
      <w:pPr>
        <w:pStyle w:val="Textoindependiente"/>
        <w:jc w:val="both"/>
      </w:pPr>
      <w:proofErr w:type="spellStart"/>
      <w:r>
        <w:rPr>
          <w:b/>
          <w:bCs/>
          <w:i/>
          <w:iCs/>
        </w:rPr>
        <w:lastRenderedPageBreak/>
        <w:t>Tabla</w:t>
      </w:r>
      <w:proofErr w:type="spellEnd"/>
      <w:r>
        <w:rPr>
          <w:b/>
          <w:bCs/>
          <w:i/>
          <w:iCs/>
        </w:rPr>
        <w:t xml:space="preserve"> 3.</w:t>
      </w:r>
      <w:r>
        <w:t xml:space="preserve"> </w:t>
      </w:r>
      <w:r>
        <w:rPr>
          <w:i/>
          <w:iCs/>
        </w:rPr>
        <w:t>Odds ratios (Razones de probabilidad) estimadas para las variables predictoras del modelo 2 de atención en salud mental.</w:t>
      </w:r>
    </w:p>
    <w:p w14:paraId="5E868F7E" w14:textId="77777777" w:rsidR="001845A7" w:rsidRDefault="00000000" w:rsidP="00D203BC">
      <w:pPr>
        <w:pStyle w:val="Textoindependiente"/>
        <w:jc w:val="both"/>
      </w:pPr>
      <w:r>
        <w:t>Entre mujeres con características similares, aquellas que son cabeza de familia son un 160% más propensas a recibir atención en salud mental que las que no lo son, al igual que aquellas mujeres que viven en un centro poblado o en zona rural dispersa, con una mayor probabilidad relativa de atención del 78% y 80%, respectivamente, en comparación con vivir en una cabecera municipal. De forma similar, haber sido agredida en un espacio público o social tiene un 41% más de probabilidad relativa en relación con quienes fueron agredidas en su vivienda.</w:t>
      </w:r>
    </w:p>
    <w:p w14:paraId="6B3BADF0" w14:textId="77777777" w:rsidR="001845A7" w:rsidRDefault="00000000" w:rsidP="00D203BC">
      <w:pPr>
        <w:pStyle w:val="Textoindependiente"/>
        <w:jc w:val="both"/>
      </w:pPr>
      <w:r>
        <w:t>En contraste, cuando el agresor es una persona cercana, como un familiar (28% menos propensas), pareja (20% menos) o ex-pareja (12% menos), las mujeres son menos propensas a recibir atención, en comparación con casos donde no se conoce al agresor. Además, convivir con el agresor también reduce en un 9% las probabilidades de recibir atención y en cuanto a la edad, por cada año adicional, las mujeres son 1% menos propensas.</w:t>
      </w:r>
    </w:p>
    <w:p w14:paraId="6B8CAFDE" w14:textId="77777777" w:rsidR="001845A7" w:rsidRDefault="00000000" w:rsidP="00D203BC">
      <w:pPr>
        <w:pStyle w:val="Textoindependiente"/>
        <w:jc w:val="both"/>
      </w:pPr>
      <w:r>
        <w:t>Finalmente, un hallazgo relevante es que las mujeres que fueron hospitalizadas tras el hecho de violencia son 704% más propensas a recibir atención psicológica pero se debe tener en cuenta que en la base de datos el 89,2% (41.358) de las mujeres no fueron hospitalizadas, lo que puede influir en este resultado. Asimismo, se observa una fuerte asociación entre el tipo de violencia y el acceso a atención mental. En comparación con negligencia y abandono, las mujeres víctimas de violencia física, psicológica y sexual son más propensas a recibir atención, con aumentos relativos del 303%, 50% y 4191%, respectivamente. Teniendo en cuenta la cantidad de casos que recibieron atención en salud mental por tipo de violencia, es de esperar este resultado, porque la proporción es mayor en violencia sexual o física. Sin embargo, a luz del contexto, se podría esperar que el hecho de ser víctima de violencia psicológica sea causa suficiente para recibir este tipo de atención y que por ende, sea mayor la posibilidad de recibirla que en caso de que la violencia sea negligencia o abandono, comparando con las otros dos tipos de violencia.</w:t>
      </w:r>
    </w:p>
    <w:p w14:paraId="0F43D635" w14:textId="77777777" w:rsidR="001845A7" w:rsidRDefault="00000000" w:rsidP="00D203BC">
      <w:pPr>
        <w:pStyle w:val="Textoindependiente"/>
        <w:jc w:val="both"/>
      </w:pPr>
      <w:r>
        <w:rPr>
          <w:b/>
          <w:bCs/>
        </w:rPr>
        <w:t>Nota:</w:t>
      </w:r>
      <w:r>
        <w:t xml:space="preserve"> Las cifras expresadas en porcentajes corresponden al aumento/disminución de los odds de una categoría en comparado con los odds de su categoría de referencia, es decir, cuánto aumentó o disminuyó las posibilidades de recibir atención frente a no recibirla de una categoría especifica en comparación con las posibilidades de su categoría de referencia.</w:t>
      </w:r>
    </w:p>
    <w:p w14:paraId="387D5ACA" w14:textId="77777777" w:rsidR="001845A7" w:rsidRDefault="00000000" w:rsidP="00D203BC">
      <w:pPr>
        <w:pStyle w:val="Textoindependiente"/>
        <w:jc w:val="both"/>
      </w:pPr>
      <w:r>
        <w:t xml:space="preserve">Ahora bien, este modelo obtuvo un </w:t>
      </w:r>
      <w:r>
        <w:rPr>
          <w:b/>
          <w:bCs/>
        </w:rPr>
        <w:t>AUC de 0.8727</w:t>
      </w:r>
      <w:r>
        <w:t>, menor al modelo anterior pero también identifica correctamente, en la gran mayoría de los casos, si una víctima de violencia de género recibió atención psicológica a partir de las características observadas. Asimismo, en Figura 4 se presenta la curva ROC, que también que se aproxima visiblemente a la esquina superior izquierda, lo cual evidencia el buen desempeño del modelo.</w:t>
      </w:r>
    </w:p>
    <w:p w14:paraId="68D90C22" w14:textId="77777777" w:rsidR="001845A7" w:rsidRDefault="00000000" w:rsidP="00D203BC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1C2ABA3" wp14:editId="243F508D">
            <wp:extent cx="2772075" cy="277207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port_results_model_2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361E5" w14:textId="77777777" w:rsidR="001845A7" w:rsidRDefault="00000000">
      <w:pPr>
        <w:pStyle w:val="Textoindependiente"/>
      </w:pPr>
      <w:r>
        <w:rPr>
          <w:b/>
          <w:bCs/>
          <w:i/>
          <w:iCs/>
        </w:rPr>
        <w:t>Figura 4.</w:t>
      </w:r>
      <w:r>
        <w:t xml:space="preserve"> </w:t>
      </w:r>
      <w:r>
        <w:rPr>
          <w:i/>
          <w:iCs/>
        </w:rPr>
        <w:t>Curva ROC del modelo 2 de atención en salud mental (AUC =</w:t>
      </w:r>
      <w:r>
        <w:t>0.8727</w:t>
      </w:r>
      <w:r>
        <w:rPr>
          <w:i/>
          <w:iCs/>
        </w:rPr>
        <w:t>).</w:t>
      </w:r>
    </w:p>
    <w:p w14:paraId="21BF7D76" w14:textId="77777777" w:rsidR="001845A7" w:rsidRDefault="00000000" w:rsidP="00D203BC">
      <w:pPr>
        <w:pStyle w:val="Ttulo2"/>
        <w:jc w:val="both"/>
      </w:pPr>
      <w:bookmarkStart w:id="1" w:name="comparación-y-resumen-de-los-modelos"/>
      <w:r>
        <w:t>Comparación y resumen de los modelos</w:t>
      </w:r>
    </w:p>
    <w:p w14:paraId="4A3CE797" w14:textId="77777777" w:rsidR="001845A7" w:rsidRDefault="00000000" w:rsidP="00D203BC">
      <w:pPr>
        <w:numPr>
          <w:ilvl w:val="0"/>
          <w:numId w:val="4"/>
        </w:numPr>
        <w:jc w:val="both"/>
      </w:pPr>
      <w:r>
        <w:t>El modelo 1 se ajustó con 10 variables predictoras, que dieron lugar a la estimación de 34 parámetros (33 coeficientes y un intercepto) mientras que el modelo 2 se ajustó con nueve variables predictoras y estimó 16 parámetros incluyendo el intercepto.</w:t>
      </w:r>
    </w:p>
    <w:p w14:paraId="1D8D6FE3" w14:textId="77777777" w:rsidR="001845A7" w:rsidRDefault="00000000" w:rsidP="00D203BC">
      <w:pPr>
        <w:numPr>
          <w:ilvl w:val="0"/>
          <w:numId w:val="4"/>
        </w:numPr>
        <w:jc w:val="both"/>
      </w:pPr>
      <w:r>
        <w:t>En ambos modelos, la edad de la víctima, ser mujer cabeza de familia, el tipo de violencia, el lugar donde ocurrió la agresión y el sexo del agresor muestran patrones similares en la posibilidad de recibir atención psicológica en comparación con no recibirla.</w:t>
      </w:r>
    </w:p>
    <w:p w14:paraId="560A1DBF" w14:textId="77777777" w:rsidR="001845A7" w:rsidRDefault="00000000" w:rsidP="00D203BC">
      <w:pPr>
        <w:numPr>
          <w:ilvl w:val="0"/>
          <w:numId w:val="4"/>
        </w:numPr>
        <w:jc w:val="both"/>
      </w:pPr>
      <w:r>
        <w:t>En ambos modelos el hecho de que el agresor sea masculino no se asocia con mayor ni menor probabilidad de recibir atención en salud mental respecto a que el agresor sea intersexual.</w:t>
      </w:r>
    </w:p>
    <w:p w14:paraId="5D2410C3" w14:textId="77777777" w:rsidR="001845A7" w:rsidRDefault="00000000" w:rsidP="00D203BC">
      <w:pPr>
        <w:numPr>
          <w:ilvl w:val="0"/>
          <w:numId w:val="4"/>
        </w:numPr>
        <w:jc w:val="both"/>
      </w:pPr>
      <w:r>
        <w:t>En el modelo 1 si la víctima fue hospitalizada no dio significativa. Pero en el modelo 2 esta categoría sí es significativa</w:t>
      </w:r>
    </w:p>
    <w:p w14:paraId="4BA3E3A7" w14:textId="77777777" w:rsidR="001845A7" w:rsidRDefault="00000000" w:rsidP="00D203BC">
      <w:pPr>
        <w:numPr>
          <w:ilvl w:val="0"/>
          <w:numId w:val="4"/>
        </w:numPr>
        <w:jc w:val="both"/>
      </w:pPr>
      <w:r>
        <w:t xml:space="preserve">Ambos modelos predicen adecuadamente, pero el modelo original muestra un rendimiento ligeramente mejor de acuerdo al valor obtenido al </w:t>
      </w:r>
      <w:r>
        <w:rPr>
          <w:b/>
          <w:bCs/>
        </w:rPr>
        <w:t>AUC</w:t>
      </w:r>
    </w:p>
    <w:p w14:paraId="69615D33" w14:textId="77777777" w:rsidR="001845A7" w:rsidRDefault="00000000" w:rsidP="00D203BC">
      <w:pPr>
        <w:numPr>
          <w:ilvl w:val="0"/>
          <w:numId w:val="4"/>
        </w:numPr>
        <w:jc w:val="both"/>
      </w:pPr>
      <w:r>
        <w:t>En el modelo 2, los valores que indican cuántas veces es más probable recibir atención psicológica (odds ratio) para los casos de violencia sexual y hospitalización son casi el doble de los obtenidos en el modelo 1.</w:t>
      </w:r>
    </w:p>
    <w:p w14:paraId="57415E12" w14:textId="2917AB10" w:rsidR="001845A7" w:rsidRDefault="00000000" w:rsidP="00D203BC">
      <w:pPr>
        <w:pStyle w:val="FirstParagraph"/>
        <w:jc w:val="both"/>
      </w:pPr>
      <w:r>
        <w:rPr>
          <w:b/>
          <w:bCs/>
        </w:rPr>
        <w:t>Nota:</w:t>
      </w:r>
      <w:r>
        <w:t xml:space="preserve"> Es importante tener en cuenta que por los cambios realizados no es totalmente adecuado comparar los dos modelos de esta manera, incluso comparar variables especificas como </w:t>
      </w:r>
      <w:r>
        <w:rPr>
          <w:i/>
          <w:iCs/>
        </w:rPr>
        <w:t>parentezco</w:t>
      </w:r>
      <w:r>
        <w:t xml:space="preserve"> y </w:t>
      </w:r>
      <w:r>
        <w:rPr>
          <w:i/>
          <w:iCs/>
        </w:rPr>
        <w:t>escenario</w:t>
      </w:r>
      <w:r>
        <w:t xml:space="preserve"> donde se cambió el nivel de referencia. </w:t>
      </w:r>
      <w:r>
        <w:lastRenderedPageBreak/>
        <w:t xml:space="preserve">Este ejercicio se hace solo para comprender bien los resultados de ambos modelos y el posible efecto de los cambios </w:t>
      </w:r>
      <w:proofErr w:type="spellStart"/>
      <w:r>
        <w:t>realizados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1</w:t>
      </w:r>
      <w:r w:rsidR="00D203BC">
        <w:t>.</w:t>
      </w:r>
      <w:bookmarkEnd w:id="0"/>
      <w:bookmarkEnd w:id="1"/>
    </w:p>
    <w:sectPr w:rsidR="001845A7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C649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FC15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31854348">
    <w:abstractNumId w:val="0"/>
  </w:num>
  <w:num w:numId="2" w16cid:durableId="1789078126">
    <w:abstractNumId w:val="1"/>
  </w:num>
  <w:num w:numId="3" w16cid:durableId="1854144916">
    <w:abstractNumId w:val="1"/>
  </w:num>
  <w:num w:numId="4" w16cid:durableId="164469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5A7"/>
    <w:rsid w:val="001845A7"/>
    <w:rsid w:val="005F5FB3"/>
    <w:rsid w:val="00B219B7"/>
    <w:rsid w:val="00D2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CBA9"/>
  <w15:docId w15:val="{D6625971-15DB-414B-94D1-9DD23E92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1270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regresión logístico bayesiano</dc:title>
  <dc:creator/>
  <cp:keywords/>
  <cp:lastModifiedBy>Ximena Castañeda Ochoa</cp:lastModifiedBy>
  <cp:revision>3</cp:revision>
  <dcterms:created xsi:type="dcterms:W3CDTF">2025-06-18T01:27:00Z</dcterms:created>
  <dcterms:modified xsi:type="dcterms:W3CDTF">2025-06-25T12:43:00Z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2025-06-17</vt:lpwstr>
  </property>
  <property fmtid="{D5CDD505-2E9C-101B-9397-08002B2CF9AE}" pid="4" name="output">
    <vt:lpwstr/>
  </property>
</Properties>
</file>