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57.png" ContentType="image/png"/>
  <Override PartName="/word/media/rId69.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1" w:name="rfc-website-redesign-seo-strategy-report"/>
    <w:p>
      <w:pPr>
        <w:pStyle w:val="Heading1"/>
      </w:pPr>
      <w:r>
        <w:t xml:space="preserve">RFC Website Redesign &amp; SEO Strategy Report</w:t>
      </w:r>
    </w:p>
    <w:bookmarkStart w:id="20" w:name="X1acbc6061190011cbe84dcd5a1639173b361260"/>
    <w:p>
      <w:pPr>
        <w:pStyle w:val="Heading2"/>
      </w:pPr>
      <w:r>
        <w:t xml:space="preserve">Recommendations for Outranking the Competition and Generating Leads</w:t>
      </w:r>
    </w:p>
    <w:p>
      <w:pPr>
        <w:pStyle w:val="FirstParagraph"/>
      </w:pPr>
      <w:r>
        <w:rPr>
          <w:bCs/>
          <w:b/>
        </w:rPr>
        <w:t xml:space="preserve">Prepared for:</w:t>
      </w:r>
      <w:r>
        <w:t xml:space="preserve"> </w:t>
      </w:r>
      <w:r>
        <w:t xml:space="preserve">Retha Faul Food Safety Consultants (RFC)</w:t>
      </w:r>
      <w:r>
        <w:br/>
      </w:r>
      <w:r>
        <w:rPr>
          <w:bCs/>
          <w:b/>
        </w:rPr>
        <w:t xml:space="preserve">Date:</w:t>
      </w:r>
      <w:r>
        <w:t xml:space="preserve"> </w:t>
      </w:r>
      <w:r>
        <w:t xml:space="preserve">May 2026</w:t>
      </w:r>
      <w:r>
        <w:br/>
      </w:r>
      <w:r>
        <w:rPr>
          <w:bCs/>
          <w:b/>
        </w:rPr>
        <w:t xml:space="preserve">Websites:</w:t>
      </w:r>
      <w:r>
        <w:t xml:space="preserve"> </w:t>
      </w:r>
      <w:r>
        <w:t xml:space="preserve">rfcsa.co.za | rfcacademy.co.za</w:t>
      </w:r>
    </w:p>
    <w:p>
      <w:r>
        <w:pict>
          <v:rect style="width:0;height:1.5pt" o:hralign="center" o:hrstd="t" o:hr="t"/>
        </w:pict>
      </w:r>
    </w:p>
    <w:bookmarkEnd w:id="20"/>
    <w:bookmarkStart w:id="28" w:name="executive-summary"/>
    <w:p>
      <w:pPr>
        <w:pStyle w:val="Heading2"/>
      </w:pPr>
      <w:r>
        <w:t xml:space="preserve">Executive Summary</w:t>
      </w:r>
    </w:p>
    <w:p>
      <w:pPr>
        <w:pStyle w:val="FirstParagraph"/>
      </w:pPr>
      <w:r>
        <w:t xml:space="preserve">RFC (Retha Faul Consulting) operates two digital properties — rfcsa.co.za, the primary consulting website, and rfcacademy.co.za, the e-learning platform — in a South African food safety market that is moderately competitive but highly fragmented. This report delivers an evidence-based roadmap to redesign both sites, capture organic search traffic, and convert visitors into qualified leads. The sector is under significant regulatory pressure: the National Consumer Commission reported 173 product recalls in 2024/25, a 40% year-on-year increase</w:t>
      </w:r>
      <w:r>
        <w:rPr>
          <w:vertAlign w:val="superscript"/>
        </w:rPr>
        <w:footnoteReference w:id="1"/>
      </w:r>
      <w:r>
        <w:t xml:space="preserve">, while municipalities like Garden Route District Municipality are publishing detailed R638 compliance requirements for formal food premises</w:t>
      </w:r>
      <w:r>
        <w:rPr>
          <w:vertAlign w:val="superscript"/>
        </w:rPr>
        <w:footnoteReference w:id="2"/>
      </w:r>
      <w:r>
        <w:t xml:space="preserve">. This regulatory intensity creates demand for the exact services RFC provides — but that demand is being captured by competitors with stronger digital presence.</w:t>
      </w:r>
    </w:p>
    <w:bookmarkStart w:id="21" w:name="X3be53fd65d4eccbead277c678087addbe0562c8"/>
    <w:p>
      <w:pPr>
        <w:pStyle w:val="Heading3"/>
      </w:pPr>
      <w:r>
        <w:t xml:space="preserve">The Critical Gap: RFC’s Digital Properties Are Not Built to Capture Demand</w:t>
      </w:r>
    </w:p>
    <w:p>
      <w:pPr>
        <w:pStyle w:val="FirstParagraph"/>
      </w:pPr>
      <w:r>
        <w:t xml:space="preserve">The assessment of rfcsa.co.za reveals a website functioning as a digital brochure rather than a lead generation engine. The site uses a dated dark green design with no mobile optimization, lacks a blog entirely, contains no lead capture mechanisms, and is missing schema markup</w:t>
      </w:r>
      <w:r>
        <w:rPr>
          <w:vertAlign w:val="superscript"/>
        </w:rPr>
        <w:footnoteReference w:id="3"/>
      </w:r>
      <w:r>
        <w:t xml:space="preserve">. These are not cosmetic concerns. Cloudflare research indicates that a one-second page load delay can reduce conversions by up to 7%</w:t>
      </w:r>
      <w:r>
        <w:rPr>
          <w:vertAlign w:val="superscript"/>
        </w:rPr>
        <w:footnoteReference w:id="4"/>
      </w:r>
      <w:r>
        <w:t xml:space="preserve">. With 72.2% of South Africa’s internet traffic now originating from mobile devices</w:t>
      </w:r>
      <w:r>
        <w:rPr>
          <w:vertAlign w:val="superscript"/>
        </w:rPr>
        <w:footnoteReference w:id="5"/>
      </w:r>
      <w:r>
        <w:t xml:space="preserve">and mobile-first indexing the standard for Google rankings globally, a non-mobile-optimized consulting site is effectively invisible to the majority of potential clients. DataReportal’s 2025 South Africa Digital Report confirms that 46.3 million South Africans are active internet users</w:t>
      </w:r>
      <w:r>
        <w:rPr>
          <w:vertAlign w:val="superscript"/>
        </w:rPr>
        <w:footnoteReference w:id="6"/>
      </w:r>
      <w:r>
        <w:t xml:space="preserve">, and 78% of B2B buyers research vendors online before making contact</w:t>
      </w:r>
      <w:r>
        <w:rPr>
          <w:vertAlign w:val="superscript"/>
        </w:rPr>
        <w:footnoteReference w:id="7"/>
      </w:r>
      <w:r>
        <w:t xml:space="preserve">. RFC’s current site is not positioned to intercept this research phase.</w:t>
      </w:r>
    </w:p>
    <w:p>
      <w:pPr>
        <w:pStyle w:val="BodyText"/>
      </w:pPr>
      <w:r>
        <w:t xml:space="preserve">RFC Academy presents a different profile. Built on a modern e-learning platform, the academy site is functional and visually contemporary but suffers from a different strategic deficit: scale. The academy currently lists only three courses</w:t>
      </w:r>
      <w:r>
        <w:rPr>
          <w:vertAlign w:val="superscript"/>
        </w:rPr>
        <w:footnoteReference w:id="8"/>
      </w:r>
      <w:r>
        <w:t xml:space="preserve">— R638 Food Safety for the Person in Charge, R638 COA (Certificate of Acceptability) for Supervisors, and an Advanced Hygiene and Food Safety programme. By comparison, ASC Food Safety, the dominant competitor in this market, offers 65+ courses spanning HACCP implementation, internal auditing, food defence, food fraud, food safety culture, GlobalGAP, and FSSC 22000 preparation</w:t>
      </w:r>
      <w:r>
        <w:rPr>
          <w:vertAlign w:val="superscript"/>
        </w:rPr>
        <w:footnoteReference w:id="9"/>
      </w:r>
      <w:r>
        <w:t xml:space="preserve"> </w:t>
      </w:r>
      <w:r>
        <w:rPr>
          <w:vertAlign w:val="superscript"/>
        </w:rPr>
        <w:footnoteReference w:id="10"/>
      </w:r>
      <w:r>
        <w:t xml:space="preserve"> </w:t>
      </w:r>
      <w:r>
        <w:rPr>
          <w:vertAlign w:val="superscript"/>
        </w:rPr>
        <w:footnoteReference w:id="11"/>
      </w:r>
      <w:r>
        <w:t xml:space="preserve"> </w:t>
      </w:r>
      <w:r>
        <w:rPr>
          <w:vertAlign w:val="superscript"/>
        </w:rPr>
        <w:footnoteReference w:id="12"/>
      </w:r>
      <w:r>
        <w:t xml:space="preserve"> </w:t>
      </w:r>
      <w:r>
        <w:rPr>
          <w:vertAlign w:val="superscript"/>
        </w:rPr>
        <w:footnoteReference w:id="13"/>
      </w:r>
      <w:r>
        <w:t xml:space="preserve"> </w:t>
      </w:r>
      <w:r>
        <w:rPr>
          <w:vertAlign w:val="superscript"/>
        </w:rPr>
        <w:footnoteReference w:id="14"/>
      </w:r>
      <w:r>
        <w:t xml:space="preserve">. This is not merely a quantitative gap — it represents a categorical difference in how ASC captures search traffic across the entire buyer journey, from awareness-stage queries like</w:t>
      </w:r>
      <w:r>
        <w:t xml:space="preserve"> </w:t>
      </w:r>
      <w:r>
        <w:t xml:space="preserve">“</w:t>
      </w:r>
      <w:r>
        <w:t xml:space="preserve">what is HACCP training</w:t>
      </w:r>
      <w:r>
        <w:t xml:space="preserve">”</w:t>
      </w:r>
      <w:r>
        <w:t xml:space="preserve"> </w:t>
      </w:r>
      <w:r>
        <w:t xml:space="preserve">to decision-stage searches like</w:t>
      </w:r>
      <w:r>
        <w:t xml:space="preserve"> </w:t>
      </w:r>
      <w:r>
        <w:t xml:space="preserve">“</w:t>
      </w:r>
      <w:r>
        <w:t xml:space="preserve">FSSC 22000 internal auditor course Pretoria.</w:t>
      </w:r>
      <w:r>
        <w:t xml:space="preserve">”</w:t>
      </w:r>
      <w:r>
        <w:t xml:space="preserve"> </w:t>
      </w:r>
      <w:r>
        <w:t xml:space="preserve">Every course ASC publishes is a dedicated landing page optimized for specific keywords, creating a compounding SEO advantage that RFC cannot match with three course pages.</w:t>
      </w:r>
    </w:p>
    <w:bookmarkEnd w:id="21"/>
    <w:bookmarkStart w:id="22" w:name="X1058467129469b9350a3c3491ab7c0c9af69301"/>
    <w:p>
      <w:pPr>
        <w:pStyle w:val="Heading3"/>
      </w:pPr>
      <w:r>
        <w:t xml:space="preserve">The Competitive Landscape: What RFC Is Up Against</w:t>
      </w:r>
    </w:p>
    <w:p>
      <w:pPr>
        <w:pStyle w:val="FirstParagraph"/>
      </w:pPr>
      <w:r>
        <w:t xml:space="preserve">Thirteen active competitors were identified across three tiers. Tier 1 — the direct threats — includes ASC Food Safety, Entecom, Shilux, and NSF Southern Africa. ASC operates a two-site strategy with extensive blog content, downloadable guides, and a claimed position as</w:t>
      </w:r>
      <w:r>
        <w:t xml:space="preserve"> </w:t>
      </w:r>
      <w:r>
        <w:t xml:space="preserve">“</w:t>
      </w:r>
      <w:r>
        <w:t xml:space="preserve">Southern Africa’s leading food safety experts</w:t>
      </w:r>
      <w:r>
        <w:t xml:space="preserve">”</w:t>
      </w:r>
      <w:r>
        <w:rPr>
          <w:vertAlign w:val="superscript"/>
        </w:rPr>
        <w:footnoteReference w:id="15"/>
      </w:r>
      <w:r>
        <w:t xml:space="preserve"> </w:t>
      </w:r>
      <w:r>
        <w:rPr>
          <w:vertAlign w:val="superscript"/>
        </w:rPr>
        <w:footnoteReference w:id="16"/>
      </w:r>
      <w:r>
        <w:t xml:space="preserve">. Entecom competes through 46+ blog articles, 61+ eBooks, and proprietary compliance software</w:t>
      </w:r>
      <w:r>
        <w:rPr>
          <w:vertAlign w:val="superscript"/>
        </w:rPr>
        <w:footnoteReference w:id="17"/>
      </w:r>
      <w:r>
        <w:t xml:space="preserve"> </w:t>
      </w:r>
      <w:r>
        <w:rPr>
          <w:vertAlign w:val="superscript"/>
        </w:rPr>
        <w:footnoteReference w:id="18"/>
      </w:r>
      <w:r>
        <w:t xml:space="preserve">. Progress Excellence publishes a dedicated</w:t>
      </w:r>
      <w:r>
        <w:t xml:space="preserve"> </w:t>
      </w:r>
      <w:r>
        <w:t xml:space="preserve">“</w:t>
      </w:r>
      <w:r>
        <w:t xml:space="preserve">Food Bites Blog</w:t>
      </w:r>
      <w:r>
        <w:t xml:space="preserve">”</w:t>
      </w:r>
      <w:r>
        <w:rPr>
          <w:vertAlign w:val="superscript"/>
        </w:rPr>
        <w:footnoteReference w:id="19"/>
      </w:r>
      <w:r>
        <w:t xml:space="preserve">. Tier 2 includes international bodies — SGS, DQS, TÜV SÜD — with global brand recognition and substantial marketing budgets</w:t>
      </w:r>
      <w:r>
        <w:rPr>
          <w:vertAlign w:val="superscript"/>
        </w:rPr>
        <w:footnoteReference w:id="20"/>
      </w:r>
      <w:r>
        <w:t xml:space="preserve"> </w:t>
      </w:r>
      <w:r>
        <w:rPr>
          <w:vertAlign w:val="superscript"/>
        </w:rPr>
        <w:footnoteReference w:id="21"/>
      </w:r>
      <w:r>
        <w:t xml:space="preserve"> </w:t>
      </w:r>
      <w:r>
        <w:rPr>
          <w:vertAlign w:val="superscript"/>
        </w:rPr>
        <w:footnoteReference w:id="22"/>
      </w:r>
      <w:r>
        <w:t xml:space="preserve">. Tier 3 encompasses smaller trainers and newer entrants like Shilux and Your Food Safety Guide building audience through focused SME packages</w:t>
      </w:r>
      <w:r>
        <w:rPr>
          <w:vertAlign w:val="superscript"/>
        </w:rPr>
        <w:footnoteReference w:id="23"/>
      </w:r>
      <w:r>
        <w:t xml:space="preserve"> </w:t>
      </w:r>
      <w:r>
        <w:rPr>
          <w:vertAlign w:val="superscript"/>
        </w:rPr>
        <w:footnoteReference w:id="24"/>
      </w:r>
      <w:r>
        <w:t xml:space="preserve">.</w:t>
      </w:r>
    </w:p>
    <w:p>
      <w:pPr>
        <w:pStyle w:val="BodyText"/>
      </w:pPr>
      <w:r>
        <w:t xml:space="preserve">The R638 training price war reveals the competitive intensity: ASC prices its course at R879 per person</w:t>
      </w:r>
      <w:r>
        <w:rPr>
          <w:vertAlign w:val="superscript"/>
        </w:rPr>
        <w:footnoteReference w:id="25"/>
      </w:r>
      <w:r>
        <w:t xml:space="preserve">, RFC Academy at R1,600</w:t>
      </w:r>
      <w:r>
        <w:rPr>
          <w:vertAlign w:val="superscript"/>
        </w:rPr>
        <w:footnoteReference w:id="26"/>
      </w:r>
      <w:r>
        <w:t xml:space="preserve">, and Entecom at R3,393</w:t>
      </w:r>
      <w:r>
        <w:rPr>
          <w:vertAlign w:val="superscript"/>
        </w:rPr>
        <w:footnoteReference w:id="27"/>
      </w:r>
      <w:r>
        <w:t xml:space="preserve">. This 74% differential between ASC and RFC creates a challenging positioning environment. However, the competitors winning market share combine competitive pricing with content-rich websites that establish authority before the buyer reaches a pricing page. RFC’s opportunity lies not in racing to the bottom on price, but in demonstrating superior expertise through strategic content and redesigned user experience.</w:t>
      </w:r>
    </w:p>
    <w:bookmarkEnd w:id="22"/>
    <w:bookmarkStart w:id="23" w:name="X445bede887331ec487b487f6645157672b1d797"/>
    <w:p>
      <w:pPr>
        <w:pStyle w:val="Heading3"/>
      </w:pPr>
      <w:r>
        <w:t xml:space="preserve">The SEO Opportunity: 1,500+ Monthly Searches in RFC’s Sweet Spot</w:t>
      </w:r>
    </w:p>
    <w:p>
      <w:pPr>
        <w:pStyle w:val="FirstParagraph"/>
      </w:pPr>
      <w:r>
        <w:t xml:space="preserve">Keyword research identifies substantial, addressable search volume in RFC’s core service areas.</w:t>
      </w:r>
      <w:r>
        <w:t xml:space="preserve"> </w:t>
      </w:r>
      <w:r>
        <w:t xml:space="preserve">“</w:t>
      </w:r>
      <w:r>
        <w:t xml:space="preserve">Food safety training South Africa</w:t>
      </w:r>
      <w:r>
        <w:t xml:space="preserve">”</w:t>
      </w:r>
      <w:r>
        <w:t xml:space="preserve"> </w:t>
      </w:r>
      <w:r>
        <w:t xml:space="preserve">generates 500–1,000 monthly searches;</w:t>
      </w:r>
      <w:r>
        <w:t xml:space="preserve"> </w:t>
      </w:r>
      <w:r>
        <w:t xml:space="preserve">“</w:t>
      </w:r>
      <w:r>
        <w:t xml:space="preserve">R638 training</w:t>
      </w:r>
      <w:r>
        <w:t xml:space="preserve">”</w:t>
      </w:r>
      <w:r>
        <w:t xml:space="preserve"> </w:t>
      </w:r>
      <w:r>
        <w:t xml:space="preserve">captures 400–800;</w:t>
      </w:r>
      <w:r>
        <w:t xml:space="preserve"> </w:t>
      </w:r>
      <w:r>
        <w:t xml:space="preserve">“</w:t>
      </w:r>
      <w:r>
        <w:t xml:space="preserve">HACCP training South Africa</w:t>
      </w:r>
      <w:r>
        <w:t xml:space="preserve">”</w:t>
      </w:r>
      <w:r>
        <w:t xml:space="preserve"> </w:t>
      </w:r>
      <w:r>
        <w:t xml:space="preserve">attracts 300–600; and</w:t>
      </w:r>
      <w:r>
        <w:t xml:space="preserve"> </w:t>
      </w:r>
      <w:r>
        <w:t xml:space="preserve">“</w:t>
      </w:r>
      <w:r>
        <w:t xml:space="preserve">FSSC 22000 training</w:t>
      </w:r>
      <w:r>
        <w:t xml:space="preserve">”</w:t>
      </w:r>
      <w:r>
        <w:t xml:space="preserve"> </w:t>
      </w:r>
      <w:r>
        <w:t xml:space="preserve">draws 100–300 monthly queries. None of these terms are dominated by unbeatable competitors — ASC ranks well but does not own the search results page, and smaller competitors have inconsistent optimization. Five content pillars were identified as the framework for capturing this traffic: R638 and Certificate of Acceptability compliance (RFC’s demonstrated strength), HACCP implementation, FSSC 22000 certification preparation, audience-specific training for spaza shops and home-based businesses, and emerging topics including food defence and food safety culture. The FSSC 22000 Version 7 scheme, published in April 2026 with a mandatory transition timeline, represents a time-sensitive content opportunity that competitors have only begun addressing</w:t>
      </w:r>
      <w:r>
        <w:rPr>
          <w:vertAlign w:val="superscript"/>
        </w:rPr>
        <w:footnoteReference w:id="28"/>
      </w:r>
      <w:r>
        <w:t xml:space="preserve"> </w:t>
      </w:r>
      <w:r>
        <w:rPr>
          <w:vertAlign w:val="superscript"/>
        </w:rPr>
        <w:footnoteReference w:id="29"/>
      </w:r>
      <w:r>
        <w:t xml:space="preserve"> </w:t>
      </w:r>
      <w:r>
        <w:rPr>
          <w:vertAlign w:val="superscript"/>
        </w:rPr>
        <w:footnoteReference w:id="30"/>
      </w:r>
      <w:r>
        <w:t xml:space="preserve">. RFC can establish first-mover advantage on Version 7 content before ASC and SABS consolidate their positions</w:t>
      </w:r>
      <w:r>
        <w:rPr>
          <w:vertAlign w:val="superscript"/>
        </w:rPr>
        <w:footnoteReference w:id="31"/>
      </w:r>
      <w:r>
        <w:t xml:space="preserve"> </w:t>
      </w:r>
      <w:r>
        <w:rPr>
          <w:vertAlign w:val="superscript"/>
        </w:rPr>
        <w:footnoteReference w:id="32"/>
      </w:r>
      <w:r>
        <w:t xml:space="preserve">.</w:t>
      </w:r>
    </w:p>
    <w:p>
      <w:pPr>
        <w:pStyle w:val="BodyText"/>
      </w:pPr>
      <w:r>
        <w:t xml:space="preserve">Local SEO presents an equally significant but under-exploited opportunity. BrightLocal’s research shows that 46% of all Google searches have local intent, and 78% of local mobile searches result in an offline purchase or business contact</w:t>
      </w:r>
      <w:r>
        <w:rPr>
          <w:vertAlign w:val="superscript"/>
        </w:rPr>
        <w:footnoteReference w:id="33"/>
      </w:r>
      <w:r>
        <w:t xml:space="preserve">. Yet RFC’s websites lack city-specific landing pages, Google Business Profile optimization, and local schema markup. With competitors like ASC Food Safety also under-invested in local SEO, RFC can capture</w:t>
      </w:r>
      <w:r>
        <w:t xml:space="preserve"> </w:t>
      </w:r>
      <w:r>
        <w:t xml:space="preserve">“</w:t>
      </w:r>
      <w:r>
        <w:t xml:space="preserve">food safety training Pretoria</w:t>
      </w:r>
      <w:r>
        <w:t xml:space="preserve">”</w:t>
      </w:r>
      <w:r>
        <w:t xml:space="preserve"> </w:t>
      </w:r>
      <w:r>
        <w:t xml:space="preserve">and</w:t>
      </w:r>
      <w:r>
        <w:t xml:space="preserve"> </w:t>
      </w:r>
      <w:r>
        <w:t xml:space="preserve">“</w:t>
      </w:r>
      <w:r>
        <w:t xml:space="preserve">R638 course Johannesburg</w:t>
      </w:r>
      <w:r>
        <w:t xml:space="preserve">”</w:t>
      </w:r>
      <w:r>
        <w:t xml:space="preserve"> </w:t>
      </w:r>
      <w:r>
        <w:t xml:space="preserve">searches with relatively modest effort. Rankmax data confirms that businesses in the Google Local Pack receive 44% of local search clicks</w:t>
      </w:r>
      <w:r>
        <w:rPr>
          <w:vertAlign w:val="superscript"/>
        </w:rPr>
        <w:footnoteReference w:id="34"/>
      </w:r>
      <w:r>
        <w:t xml:space="preserve">. For a Pretoria-based consultancy serving Gauteng clients, this represents the fastest path to visible ranking improvements.</w:t>
      </w:r>
    </w:p>
    <w:bookmarkEnd w:id="23"/>
    <w:bookmarkStart w:id="24" w:name="Xcdbfdbd001dd94db44dc51dfb3c13d1fa0807a1"/>
    <w:p>
      <w:pPr>
        <w:pStyle w:val="Heading3"/>
      </w:pPr>
      <w:r>
        <w:t xml:space="preserve">The Roadmap: Four Phases from Quick Wins to Sustained Growth</w:t>
      </w:r>
    </w:p>
    <w:p>
      <w:pPr>
        <w:pStyle w:val="FirstParagraph"/>
      </w:pPr>
      <w:r>
        <w:t xml:space="preserve">This report is organized into four implementation phases. Phase 1 — Quick Wins (Weeks 1–2) — addresses twelve critical issues on the current sites, half resolvable without external development: fixing broken forms, adding image alt text, implementing LocalBusiness and Course schema markup, and creating Google Business Profiles. Phase 2 — Foundation (Months 1–2) — covers the mobile-first redesign of rfcsa.co.za, development of 13 new landing pages, WhatsApp Business integration, and cross-site navigation between both domains. Phase 3 — Content Engine (Months 3–6) — launches a 12-month blog calendar, LinkedIn posting at 4–5 times per week, Facebook at 3–4 times per week, and five linkable assets for editorial backlink acquisition. Phase 4 — Growth (Months 6–12) — scales the academy with five new courses, introduces free monthly webinars and mini-courses, and deploys advanced email automation.</w:t>
      </w:r>
    </w:p>
    <w:bookmarkEnd w:id="24"/>
    <w:bookmarkStart w:id="25" w:name="lead-generation-from-traffic-to-revenue"/>
    <w:p>
      <w:pPr>
        <w:pStyle w:val="Heading3"/>
      </w:pPr>
      <w:r>
        <w:t xml:space="preserve">Lead Generation: From Traffic to Revenue</w:t>
      </w:r>
    </w:p>
    <w:p>
      <w:pPr>
        <w:pStyle w:val="FirstParagraph"/>
      </w:pPr>
      <w:r>
        <w:t xml:space="preserve">The report details seven lead magnets: an R638 Compliance Checklist, COA Application Bundle, Food Safety Certification Roadmap, Home-Based Business Starter Kit, Mock Recall Response Template, Spaza Shop Compliance Guide, and a 2026 Compliance Calendar. Each connects to a dedicated landing page and feeds into one of two email nurture sequences — a six-email R638/COA funnel and a five-email HACCP/FSSC funnel. WhatsApp click-to-chat, exit-intent popups, and contact forms complete the conversion architecture. This approach is proven: Entecom’s content hub of 46+ articles and 61+ eBooks has built their audience and positioned them as thought leaders</w:t>
      </w:r>
      <w:fldSimple w:instr="NOTEREF _Ref_Footnote_17 \h \f">
        <w:r>
          <w:rPr>
            <w:vertAlign w:val="superscript"/>
          </w:rPr>
          <w:t>17</w:t>
        </w:r>
      </w:fldSimple>
      <w:r>
        <w:t xml:space="preserve">. RFC can exceed this by focusing on regulation-specific resources that South African food businesses cannot find elsewhere.</w:t>
      </w:r>
    </w:p>
    <w:bookmarkEnd w:id="25"/>
    <w:bookmarkStart w:id="26" w:name="academy-growth-closing-the-course-gap"/>
    <w:p>
      <w:pPr>
        <w:pStyle w:val="Heading3"/>
      </w:pPr>
      <w:r>
        <w:t xml:space="preserve">Academy Growth: Closing the Course Gap</w:t>
      </w:r>
    </w:p>
    <w:p>
      <w:pPr>
        <w:pStyle w:val="FirstParagraph"/>
      </w:pPr>
      <w:r>
        <w:t xml:space="preserve">The five new courses recommended for RFC Academy — HACCP Principles and Application (R1,600), ISO 22000 Internal Auditor (R1,600), Food Labelling and Allergen Management (R1,600), GMP and Sanitation (R1,200), and Spaza Shop Compliance (R800) — are priced strategically against ASC’s catalogue while addressing regulatory requirements not fully covered by competitors. SAATCA-registered training providers are increasingly moving online</w:t>
      </w:r>
      <w:r>
        <w:rPr>
          <w:vertAlign w:val="superscript"/>
        </w:rPr>
        <w:footnoteReference w:id="35"/>
      </w:r>
      <w:r>
        <w:t xml:space="preserve">, and the post-COVID shift to e-learning has normalized digital certification in the South African market. Free monthly webinars on topics like R638 updates, product recall case studies, and FSSC 22000 Version 7 transition planning will serve as both audience acquisition channels and conversion pathways to paid courses. The academy growth strategy transforms rfcacademy.co.za from a three-course brochure into a comprehensive food safety education platform. Combined with the consulting site’s redesign, this dual-property approach mirrors the strategy that has made ASC the market leader — but with RFC’s specialised regulatory expertise as the differentiator.</w:t>
      </w:r>
    </w:p>
    <w:bookmarkEnd w:id="26"/>
    <w:bookmarkStart w:id="27" w:name="what-success-looks-like-kpis-and-targets"/>
    <w:p>
      <w:pPr>
        <w:pStyle w:val="Heading3"/>
      </w:pPr>
      <w:r>
        <w:t xml:space="preserve">What Success Looks Like: KPIs and Targets</w:t>
      </w:r>
    </w:p>
    <w:p>
      <w:pPr>
        <w:pStyle w:val="FirstParagraph"/>
      </w:pPr>
      <w:r>
        <w:t xml:space="preserve">Ten key performance indicators are established with Month 6 and Month 12 targets. By Month 6: organic traffic increase of 60–80%, 15–20 email subscribers per week, 5–8 qualified leads per month, and 24+ published blog articles. By Month 12: 150–200% organic traffic growth, 40–50 email subscribers per week, 15–20 qualified leads per month, 8+ published academy courses, and first-page Google rankings for 8–10 priority keywords. These targets are calibrated against competitive benchmarks and demonstrated search volume in RFC’s service categories.</w:t>
      </w:r>
    </w:p>
    <w:p>
      <w:pPr>
        <w:pStyle w:val="BodyText"/>
      </w:pPr>
      <w:r>
        <w:t xml:space="preserve">The food safety training and consultancy market in South Africa is growing, fragmented, and digitally immature — precisely the conditions in which a strategic, well-executed online presence can deliver outsized returns. RFC possesses deep regulatory expertise, practical industry experience, and existing training infrastructure. What it lacks is a digital strategy commensurate with that expertise. This report provides that strategy, chapter by chapter, with specific, implementable recommendations supported by competitor data, keyword research, and market analysis. The opportunity is immediate. The roadmap is clear. The time to act is now.</w:t>
      </w:r>
      <w:r>
        <w:t xml:space="preserve"> </w:t>
      </w:r>
      <w:r>
        <w:t xml:space="preserve">-e</w:t>
      </w:r>
    </w:p>
    <w:bookmarkEnd w:id="27"/>
    <w:bookmarkEnd w:id="28"/>
    <w:bookmarkStart w:id="45" w:name="current-state-assessment"/>
    <w:p>
      <w:pPr>
        <w:pStyle w:val="Heading2"/>
      </w:pPr>
      <w:r>
        <w:t xml:space="preserve">1. Current State Assessment</w:t>
      </w:r>
    </w:p>
    <w:p>
      <w:pPr>
        <w:pStyle w:val="FirstParagraph"/>
      </w:pPr>
      <w:r>
        <w:t xml:space="preserve">A rigorous audit of RFC’s two digital properties — the main consulting site at rfcsa.co.za and the e-learning platform at rfcacademy.co.za — reveals a split identity. The consulting site carries the visual hallmarks of an earlier era in web design, while the academy presents a contemporary interface that nonetheless masks significant structural weaknesses. Both sites share a common deficiency: they are built to inform rather than to convert. In a market where ASC Food Safety publishes 2,000–5,000 word guides targeting virtually every high-value keyword in the sector</w:t>
      </w:r>
      <w:r>
        <w:t xml:space="preserve"> </w:t>
      </w:r>
      <w:fldSimple w:instr="NOTEREF _Ref_Footnote_9 \h \f">
        <w:r>
          <w:rPr>
            <w:vertAlign w:val="superscript"/>
          </w:rPr>
          <w:t>9</w:t>
        </w:r>
      </w:fldSimple>
      <w:r>
        <w:t xml:space="preserve">, and Entecom maintains a Guidance Hub with 46+ articles, 61+ eBooks, and an active podcast series</w:t>
      </w:r>
      <w:r>
        <w:t xml:space="preserve"> </w:t>
      </w:r>
      <w:r>
        <w:rPr>
          <w:vertAlign w:val="superscript"/>
        </w:rPr>
        <w:footnoteReference w:id="36"/>
      </w:r>
      <w:r>
        <w:t xml:space="preserve">, RFC’s near-total absence of indexable content represents a strategic vulnerability that extends far beyond aesthetics. The following assessment examines each site across six functional dimensions, then consolidates findings into a prioritised remediation matrix.</w:t>
      </w:r>
    </w:p>
    <w:bookmarkStart w:id="35" w:name="rfcsa.co.za-main-consulting-site-audit"/>
    <w:p>
      <w:pPr>
        <w:pStyle w:val="Heading3"/>
      </w:pPr>
      <w:r>
        <w:t xml:space="preserve">1.1 rfcsa.co.za Main Consulting Site Audit</w:t>
      </w:r>
    </w:p>
    <w:bookmarkStart w:id="29" w:name="visual-design-analysis"/>
    <w:p>
      <w:pPr>
        <w:pStyle w:val="Heading4"/>
      </w:pPr>
      <w:r>
        <w:t xml:space="preserve">1.1.1 Visual Design Analysis</w:t>
      </w:r>
    </w:p>
    <w:p>
      <w:pPr>
        <w:pStyle w:val="FirstParagraph"/>
      </w:pPr>
      <w:r>
        <w:t xml:space="preserve">The rfcsa.co.za homepage presents a dark green, full-width hero overlay that immediately establishes a dated visual impression. The background imagery — aerial agricultural photography with a heavy green tint — lacks relevance to the urban food businesses, restaurants, and manufacturers that constitute RFC’s core market in Pretoria and Gauteng. More critically, the hero section leads with</w:t>
      </w:r>
      <w:r>
        <w:t xml:space="preserve"> </w:t>
      </w:r>
      <w:r>
        <w:t xml:space="preserve">“</w:t>
      </w:r>
      <w:r>
        <w:t xml:space="preserve">RFC Comply Cloud,</w:t>
      </w:r>
      <w:r>
        <w:t xml:space="preserve">”</w:t>
      </w:r>
      <w:r>
        <w:t xml:space="preserve"> </w:t>
      </w:r>
      <w:r>
        <w:t xml:space="preserve">RFC’s proprietary compliance software, rather than a benefit-driven value proposition addressing the visitor’s immediate need</w:t>
      </w:r>
      <w:r>
        <w:t xml:space="preserve"> </w:t>
      </w:r>
      <w:fldSimple w:instr="NOTEREF _Ref_Footnote_3 \h \f">
        <w:r>
          <w:rPr>
            <w:vertAlign w:val="superscript"/>
          </w:rPr>
          <w:t>3</w:t>
        </w:r>
      </w:fldSimple>
      <w:r>
        <w:t xml:space="preserve">. The sub-hero section promotes the e-learning academy with a generic</w:t>
      </w:r>
      <w:r>
        <w:t xml:space="preserve"> </w:t>
      </w:r>
      <w:r>
        <w:t xml:space="preserve">“</w:t>
      </w:r>
      <w:r>
        <w:t xml:space="preserve">Take your career in the Food Industry to the next level</w:t>
      </w:r>
      <w:r>
        <w:t xml:space="preserve">”</w:t>
      </w:r>
      <w:r>
        <w:t xml:space="preserve"> </w:t>
      </w:r>
      <w:r>
        <w:t xml:space="preserve">message that fails to specify outcomes, differentiate from competitors, or include a compelling reason to act now.</w:t>
      </w:r>
    </w:p>
    <w:p>
      <w:pPr>
        <w:pStyle w:val="BodyText"/>
      </w:pPr>
      <w:r>
        <w:t xml:space="preserve">The typography relies on all-caps treatments for section headers, a convention that contemporary usability research associates with reduced readability and a perception of shouting rather than guiding. Colour contrast between the green accent elements and the dark background, while on-brand, produces a heaviness that contradicts the clarity and transparency RFC claims as core values. Navigation items on hover display green underlines that feel more reminiscent of mid-2010s template designs than current best practice. In contrast, ASC Food Safety employs a split-screen gateway allowing visitors to self-select between consulting and training paths, with professional food-industry photography and clear service taxonomy</w:t>
      </w:r>
      <w:r>
        <w:t xml:space="preserve"> </w:t>
      </w:r>
      <w:fldSimple w:instr="NOTEREF _Ref_Footnote_9 \h \f">
        <w:r>
          <w:rPr>
            <w:vertAlign w:val="superscript"/>
          </w:rPr>
          <w:t>9</w:t>
        </w:r>
      </w:fldSimple>
      <w:r>
        <w:t xml:space="preserve">.</w:t>
      </w:r>
    </w:p>
    <w:bookmarkEnd w:id="29"/>
    <w:bookmarkStart w:id="30" w:name="navigation-structure-review"/>
    <w:p>
      <w:pPr>
        <w:pStyle w:val="Heading4"/>
      </w:pPr>
      <w:r>
        <w:t xml:space="preserve">1.1.2 Navigation Structure Review</w:t>
      </w:r>
    </w:p>
    <w:p>
      <w:pPr>
        <w:pStyle w:val="FirstParagraph"/>
      </w:pPr>
      <w:r>
        <w:t xml:space="preserve">The main navigation comprises six top-level items: Home, About, Services, Food Safety Training, Comply Cloud, and Contact</w:t>
      </w:r>
      <w:r>
        <w:t xml:space="preserve"> </w:t>
      </w:r>
      <w:fldSimple w:instr="NOTEREF _Ref_Footnote_3 \h \f">
        <w:r>
          <w:rPr>
            <w:vertAlign w:val="superscript"/>
          </w:rPr>
          <w:t>3</w:t>
        </w:r>
      </w:fldSimple>
      <w:r>
        <w:t xml:space="preserve">. The presence of dropdown submenus beneath Home, About, Services, Food Safety Training, and Comply Cloud indicates a hierarchical content structure, yet the absence of visual indicators (such as chevron icons) on several parent items obscures this depth from first-time visitors. The</w:t>
      </w:r>
      <w:r>
        <w:t xml:space="preserve"> </w:t>
      </w:r>
      <w:r>
        <w:t xml:space="preserve">“</w:t>
      </w:r>
      <w:r>
        <w:t xml:space="preserve">Services</w:t>
      </w:r>
      <w:r>
        <w:t xml:space="preserve">”</w:t>
      </w:r>
      <w:r>
        <w:t xml:space="preserve"> </w:t>
      </w:r>
      <w:r>
        <w:t xml:space="preserve">dropdown is particularly important because it represents the primary revenue path, but its discoverability depends on the user intuiting that the label is expandable.</w:t>
      </w:r>
    </w:p>
    <w:p>
      <w:pPr>
        <w:pStyle w:val="BodyText"/>
      </w:pPr>
      <w:r>
        <w:t xml:space="preserve">The navigation logic reveals an organisational bias toward RFC’s internal service taxonomy rather than the problem-statement language that prospects use when arriving on the site. A food business owner searching for</w:t>
      </w:r>
      <w:r>
        <w:t xml:space="preserve"> </w:t>
      </w:r>
      <w:r>
        <w:t xml:space="preserve">“</w:t>
      </w:r>
      <w:r>
        <w:t xml:space="preserve">R638 compliance help Pretoria</w:t>
      </w:r>
      <w:r>
        <w:t xml:space="preserve">”</w:t>
      </w:r>
      <w:r>
        <w:t xml:space="preserve"> </w:t>
      </w:r>
      <w:r>
        <w:t xml:space="preserve">or</w:t>
      </w:r>
      <w:r>
        <w:t xml:space="preserve"> </w:t>
      </w:r>
      <w:r>
        <w:t xml:space="preserve">“</w:t>
      </w:r>
      <w:r>
        <w:t xml:space="preserve">HACCP certification cost</w:t>
      </w:r>
      <w:r>
        <w:t xml:space="preserve">”</w:t>
      </w:r>
      <w:r>
        <w:t xml:space="preserve"> </w:t>
      </w:r>
      <w:r>
        <w:t xml:space="preserve">will not find those terms in the navigation labels. This structural mismatch directly undermines organic search relevance. Shilux, by comparison, organises its navigation around solution paths —</w:t>
      </w:r>
      <w:r>
        <w:t xml:space="preserve"> </w:t>
      </w:r>
      <w:r>
        <w:t xml:space="preserve">“</w:t>
      </w:r>
      <w:r>
        <w:t xml:space="preserve">SME Supplier Compliance Support Programme,</w:t>
      </w:r>
      <w:r>
        <w:t xml:space="preserve">”</w:t>
      </w:r>
      <w:r>
        <w:t xml:space="preserve"> </w:t>
      </w:r>
      <w:r>
        <w:t xml:space="preserve">“</w:t>
      </w:r>
      <w:r>
        <w:t xml:space="preserve">QMSure Software</w:t>
      </w:r>
      <w:r>
        <w:t xml:space="preserve">”</w:t>
      </w:r>
      <w:r>
        <w:t xml:space="preserve"> </w:t>
      </w:r>
      <w:r>
        <w:t xml:space="preserve">— that mirror buyer intent</w:t>
      </w:r>
      <w:r>
        <w:t xml:space="preserve"> </w:t>
      </w:r>
      <w:fldSimple w:instr="NOTEREF _Ref_Footnote_23 \h \f">
        <w:r>
          <w:rPr>
            <w:vertAlign w:val="superscript"/>
          </w:rPr>
          <w:t>23</w:t>
        </w:r>
      </w:fldSimple>
      <w:r>
        <w:t xml:space="preserve">.</w:t>
      </w:r>
    </w:p>
    <w:bookmarkEnd w:id="30"/>
    <w:bookmarkStart w:id="31" w:name="mobile-responsiveness-assessment"/>
    <w:p>
      <w:pPr>
        <w:pStyle w:val="Heading4"/>
      </w:pPr>
      <w:r>
        <w:t xml:space="preserve">1.1.3 Mobile Responsiveness Assessment</w:t>
      </w:r>
    </w:p>
    <w:p>
      <w:pPr>
        <w:pStyle w:val="FirstParagraph"/>
      </w:pPr>
      <w:r>
        <w:t xml:space="preserve">The rfcsa.co.za site lacks responsive optimisation for mobile devices, a critical deficiency in the South African market where mobile accounts for the majority of business-related web traffic outside of large corporate offices</w:t>
      </w:r>
      <w:r>
        <w:t xml:space="preserve"> </w:t>
      </w:r>
      <w:fldSimple w:instr="NOTEREF _Ref_Footnote_3 \h \f">
        <w:r>
          <w:rPr>
            <w:vertAlign w:val="superscript"/>
          </w:rPr>
          <w:t>3</w:t>
        </w:r>
      </w:fldSimple>
      <w:r>
        <w:t xml:space="preserve">. Text sizing falls below the 16px minimum recommended for body copy on touch screens, touch targets for navigation items and call-to-action buttons appear smaller than the 48×48px accessibility standard, and the full-width agricultural hero image produces slow loading times on 3G and 4G connections common in peri-urban Gauteng. The horizontal navigation collapses into a hamburger menu on smaller viewports, but testing reveals that submenu items within dropdowns become difficult to access via touch, potentially trapping mobile users who need to explore service categories. The</w:t>
      </w:r>
      <w:r>
        <w:t xml:space="preserve"> </w:t>
      </w:r>
      <w:r>
        <w:t xml:space="preserve">“</w:t>
      </w:r>
      <w:r>
        <w:t xml:space="preserve">Pest Control Solutions</w:t>
      </w:r>
      <w:r>
        <w:t xml:space="preserve">”</w:t>
      </w:r>
      <w:r>
        <w:t xml:space="preserve"> </w:t>
      </w:r>
      <w:r>
        <w:t xml:space="preserve">external link, visible in the header area, further complicates the mobile navigation experience by introducing an off-site destination without clear visual distinction</w:t>
      </w:r>
      <w:r>
        <w:t xml:space="preserve"> </w:t>
      </w:r>
      <w:fldSimple w:instr="NOTEREF _Ref_Footnote_3 \h \f">
        <w:r>
          <w:rPr>
            <w:vertAlign w:val="superscript"/>
          </w:rPr>
          <w:t>3</w:t>
        </w:r>
      </w:fldSimple>
      <w:r>
        <w:t xml:space="preserve">.</w:t>
      </w:r>
    </w:p>
    <w:bookmarkEnd w:id="31"/>
    <w:bookmarkStart w:id="32" w:name="page-speed-and-technical-performance"/>
    <w:p>
      <w:pPr>
        <w:pStyle w:val="Heading4"/>
      </w:pPr>
      <w:r>
        <w:t xml:space="preserve">1.1.4 Page Speed and Technical Performance</w:t>
      </w:r>
    </w:p>
    <w:p>
      <w:pPr>
        <w:pStyle w:val="FirstParagraph"/>
      </w:pPr>
      <w:r>
        <w:t xml:space="preserve">Image assets on the homepage appear uncompressed and served in legacy formats rather than WebP, which typically reduces file sizes by 30–50% without perceptible quality loss. No content delivery network (CDN) implementation is evident, meaning visitors in Cape Town or Durban are served assets from the origin server location rather than geographically distributed edge nodes. Browser caching headers appear under-configured, forcing repeat visitors to re-download static resources on each session. The combination of uncompressed images, render-blocking CSS and JavaScript, and suboptimal server response times likely pushes First Contentful Paint beyond the three-second threshold that Google uses as a Core Web Vitals benchmark. For a B2B consulting site where decision-makers evaluate multiple providers before requesting a quote, slow loading creates an immediate credibility deficit against competitors like Entecom, whose Guidance Hub loads rapidly enough to support seamless eBook downloads</w:t>
      </w:r>
      <w:r>
        <w:t xml:space="preserve"> </w:t>
      </w:r>
      <w:fldSimple w:instr="NOTEREF _Ref_Footnote_36 \h \f">
        <w:r>
          <w:rPr>
            <w:vertAlign w:val="superscript"/>
          </w:rPr>
          <w:t>36</w:t>
        </w:r>
      </w:fldSimple>
      <w:r>
        <w:t xml:space="preserve">.</w:t>
      </w:r>
    </w:p>
    <w:bookmarkEnd w:id="32"/>
    <w:bookmarkStart w:id="33" w:name="lead-generation-audit"/>
    <w:p>
      <w:pPr>
        <w:pStyle w:val="Heading4"/>
      </w:pPr>
      <w:r>
        <w:t xml:space="preserve">1.1.5 Lead Generation Audit</w:t>
      </w:r>
    </w:p>
    <w:p>
      <w:pPr>
        <w:pStyle w:val="FirstParagraph"/>
      </w:pPr>
      <w:r>
        <w:t xml:space="preserve">The lead generation infrastructure on rfcsa.co.za is functionally nonexistent. No blog or resource hub is present to attract organic traffic. No lead magnets — such as compliance checklists, guide downloads, or assessment tools — are offered in exchange for contact information. The site lacks newsletter signup forms, exit-intent overlays, scroll-triggered CTAs, or chat widgets. The only conversion paths visible are the</w:t>
      </w:r>
      <w:r>
        <w:t xml:space="preserve"> </w:t>
      </w:r>
      <w:r>
        <w:t xml:space="preserve">“</w:t>
      </w:r>
      <w:r>
        <w:t xml:space="preserve">Learn More</w:t>
      </w:r>
      <w:r>
        <w:t xml:space="preserve">”</w:t>
      </w:r>
      <w:r>
        <w:t xml:space="preserve"> </w:t>
      </w:r>
      <w:r>
        <w:t xml:space="preserve">button on the hero section, the</w:t>
      </w:r>
      <w:r>
        <w:t xml:space="preserve"> </w:t>
      </w:r>
      <w:r>
        <w:t xml:space="preserve">“</w:t>
      </w:r>
      <w:r>
        <w:t xml:space="preserve">Read More</w:t>
      </w:r>
      <w:r>
        <w:t xml:space="preserve">”</w:t>
      </w:r>
      <w:r>
        <w:t xml:space="preserve"> </w:t>
      </w:r>
      <w:r>
        <w:t xml:space="preserve">link under the About section, and the link to rfcacademy.co.za</w:t>
      </w:r>
      <w:r>
        <w:t xml:space="preserve"> </w:t>
      </w:r>
      <w:fldSimple w:instr="NOTEREF _Ref_Footnote_3 \h \f">
        <w:r>
          <w:rPr>
            <w:vertAlign w:val="superscript"/>
          </w:rPr>
          <w:t>3</w:t>
        </w:r>
      </w:fldSimple>
      <w:r>
        <w:t xml:space="preserve">.</w:t>
      </w:r>
    </w:p>
    <w:p>
      <w:pPr>
        <w:pStyle w:val="BodyText"/>
      </w:pPr>
      <w:r>
        <w:t xml:space="preserve">This represents a stark contrast to competitor practice. Entecom offers 61+ downloadable eBooks as lead magnets, including</w:t>
      </w:r>
      <w:r>
        <w:t xml:space="preserve"> </w:t>
      </w:r>
      <w:r>
        <w:t xml:space="preserve">“</w:t>
      </w:r>
      <w:r>
        <w:t xml:space="preserve">8 Practical Steps to Implementing a Change Management Process in Your FSMS,</w:t>
      </w:r>
      <w:r>
        <w:t xml:space="preserve">”</w:t>
      </w:r>
      <w:r>
        <w:t xml:space="preserve"> </w:t>
      </w:r>
      <w:r>
        <w:t xml:space="preserve">captured behind email gates that build a marketing database</w:t>
      </w:r>
      <w:r>
        <w:t xml:space="preserve"> </w:t>
      </w:r>
      <w:r>
        <w:rPr>
          <w:vertAlign w:val="superscript"/>
        </w:rPr>
        <w:footnoteReference w:id="37"/>
      </w:r>
      <w:r>
        <w:t xml:space="preserve">. Food Safety Matters provides free Regulation 638 downloads and COA application process guides that directly target the queries of new food business owners</w:t>
      </w:r>
      <w:r>
        <w:t xml:space="preserve"> </w:t>
      </w:r>
      <w:r>
        <w:rPr>
          <w:vertAlign w:val="superscript"/>
        </w:rPr>
        <w:footnoteReference w:id="38"/>
      </w:r>
      <w:r>
        <w:t xml:space="preserve">. Hygiene Heroes attracts signups through a comprehensive free guide on R638, HACCP, and hygiene best practices</w:t>
      </w:r>
      <w:r>
        <w:t xml:space="preserve"> </w:t>
      </w:r>
      <w:r>
        <w:rPr>
          <w:vertAlign w:val="superscript"/>
        </w:rPr>
        <w:footnoteReference w:id="39"/>
      </w:r>
      <w:r>
        <w:t xml:space="preserve">. Progress Excellence places a newsletter signup form in the header of every page, ensuring visibility regardless of scroll depth</w:t>
      </w:r>
      <w:r>
        <w:t xml:space="preserve"> </w:t>
      </w:r>
      <w:r>
        <w:rPr>
          <w:vertAlign w:val="superscript"/>
        </w:rPr>
        <w:footnoteReference w:id="40"/>
      </w:r>
      <w:r>
        <w:t xml:space="preserve">. RFC’s absence of any equivalent mechanism means that the vast majority of visitors who do not immediately decide to contact or purchase leave without a trace, creating no opportunity for remarketing or nurture sequencing.</w:t>
      </w:r>
    </w:p>
    <w:bookmarkEnd w:id="33"/>
    <w:bookmarkStart w:id="34" w:name="on-page-seo-gaps"/>
    <w:p>
      <w:pPr>
        <w:pStyle w:val="Heading4"/>
      </w:pPr>
      <w:r>
        <w:t xml:space="preserve">1.1.6 On-Page SEO Gaps</w:t>
      </w:r>
    </w:p>
    <w:p>
      <w:pPr>
        <w:pStyle w:val="FirstParagraph"/>
      </w:pPr>
      <w:r>
        <w:t xml:space="preserve">The site’s on-page SEO foundation requires comprehensive reconstruction. No structured data markup (schema) is present — specifically missing are LocalBusiness schema for the Pretoria headquarters, Service schema for consulting offerings, and FAQPage schema that could enable rich snippet appearances in search results. The page title format appears generic rather than keyword-optimised; competitors like ASC use location-aware title structures such as</w:t>
      </w:r>
      <w:r>
        <w:t xml:space="preserve"> </w:t>
      </w:r>
      <w:r>
        <w:t xml:space="preserve">“</w:t>
      </w:r>
      <w:r>
        <w:t xml:space="preserve">[Service] | [City] | ASC</w:t>
      </w:r>
      <w:r>
        <w:t xml:space="preserve">”</w:t>
      </w:r>
      <w:r>
        <w:t xml:space="preserve"> </w:t>
      </w:r>
      <w:r>
        <w:t xml:space="preserve">that capture local search intent</w:t>
      </w:r>
      <w:r>
        <w:t xml:space="preserve"> </w:t>
      </w:r>
      <w:fldSimple w:instr="NOTEREF _Ref_Footnote_9 \h \f">
        <w:r>
          <w:rPr>
            <w:vertAlign w:val="superscript"/>
          </w:rPr>
          <w:t>9</w:t>
        </w:r>
      </w:fldSimple>
      <w:r>
        <w:t xml:space="preserve">. Meta descriptions, where present, lack compelling calls-to-action and do not include target keywords for high-value terms like</w:t>
      </w:r>
      <w:r>
        <w:t xml:space="preserve"> </w:t>
      </w:r>
      <w:r>
        <w:t xml:space="preserve">“</w:t>
      </w:r>
      <w:r>
        <w:t xml:space="preserve">food safety training Pretoria</w:t>
      </w:r>
      <w:r>
        <w:t xml:space="preserve">”</w:t>
      </w:r>
      <w:r>
        <w:t xml:space="preserve"> </w:t>
      </w:r>
      <w:r>
        <w:t xml:space="preserve">or</w:t>
      </w:r>
      <w:r>
        <w:t xml:space="preserve"> </w:t>
      </w:r>
      <w:r>
        <w:t xml:space="preserve">“</w:t>
      </w:r>
      <w:r>
        <w:t xml:space="preserve">R638 compliance consulting Gauteng.</w:t>
      </w:r>
      <w:r>
        <w:t xml:space="preserve">”</w:t>
      </w:r>
    </w:p>
    <w:p>
      <w:pPr>
        <w:pStyle w:val="BodyText"/>
      </w:pPr>
      <w:r>
        <w:t xml:space="preserve">No FAQ sections appear on service pages, despite the fact that question-based queries —</w:t>
      </w:r>
      <w:r>
        <w:t xml:space="preserve"> </w:t>
      </w:r>
      <w:r>
        <w:t xml:space="preserve">“</w:t>
      </w:r>
      <w:r>
        <w:t xml:space="preserve">What is Regulation R638?</w:t>
      </w:r>
      <w:r>
        <w:t xml:space="preserve">”</w:t>
      </w:r>
      <w:r>
        <w:t xml:space="preserve">,</w:t>
      </w:r>
      <w:r>
        <w:t xml:space="preserve"> </w:t>
      </w:r>
      <w:r>
        <w:t xml:space="preserve">“</w:t>
      </w:r>
      <w:r>
        <w:t xml:space="preserve">Who needs R638 training?</w:t>
      </w:r>
      <w:r>
        <w:t xml:space="preserve">”</w:t>
      </w:r>
      <w:r>
        <w:t xml:space="preserve">,</w:t>
      </w:r>
      <w:r>
        <w:t xml:space="preserve"> </w:t>
      </w:r>
      <w:r>
        <w:t xml:space="preserve">“</w:t>
      </w:r>
      <w:r>
        <w:t xml:space="preserve">How do I apply for a Certificate of Acceptability?</w:t>
      </w:r>
      <w:r>
        <w:t xml:space="preserve">”</w:t>
      </w:r>
      <w:r>
        <w:t xml:space="preserve"> </w:t>
      </w:r>
      <w:r>
        <w:t xml:space="preserve">— represent some of the highest-opportunity, lowest-competition keyword targets in the South African food safety market. Internal linking between the consulting site and the academy is limited to a single promotional section, missing the opportunity to create content silos that would strengthen both domains’ topical authority. The absence of a blog means the site has no mechanism for regular indexing by search engines, a critical disadvantage when ASC publishes comprehensive guides monthly and Entecom updates its Guidance Hub continuously</w:t>
      </w:r>
      <w:r>
        <w:t xml:space="preserve"> </w:t>
      </w:r>
      <w:fldSimple w:instr="NOTEREF _Ref_Footnote_9 \h \f">
        <w:r>
          <w:rPr>
            <w:vertAlign w:val="superscript"/>
          </w:rPr>
          <w:t>9</w:t>
        </w:r>
      </w:fldSimple>
      <w:r>
        <w:t xml:space="preserve"> </w:t>
      </w:r>
      <w:fldSimple w:instr="NOTEREF _Ref_Footnote_36 \h \f">
        <w:r>
          <w:rPr>
            <w:vertAlign w:val="superscript"/>
          </w:rPr>
          <w:t>36</w:t>
        </w:r>
      </w:fldSimple>
      <w:r>
        <w:t xml:space="preserve">.</w:t>
      </w:r>
    </w:p>
    <w:bookmarkEnd w:id="34"/>
    <w:bookmarkEnd w:id="35"/>
    <w:bookmarkStart w:id="41" w:name="Xdbce69f0a6829a0e4dafc875a033ff27fe0c68a"/>
    <w:p>
      <w:pPr>
        <w:pStyle w:val="Heading3"/>
      </w:pPr>
      <w:r>
        <w:t xml:space="preserve">1.2 rfcacademy.co.za E-Learning Platform Audit</w:t>
      </w:r>
    </w:p>
    <w:bookmarkStart w:id="36" w:name="modern-design-with-limited-catalog"/>
    <w:p>
      <w:pPr>
        <w:pStyle w:val="Heading4"/>
      </w:pPr>
      <w:r>
        <w:t xml:space="preserve">1.2.1 Modern Design with Limited Catalog</w:t>
      </w:r>
    </w:p>
    <w:p>
      <w:pPr>
        <w:pStyle w:val="FirstParagraph"/>
      </w:pPr>
      <w:r>
        <w:t xml:space="preserve">The rfcacademy.co.za platform presents a markedly more contemporary visual identity than the main consulting site. The interface employs a light green and white palette with rounded card elements, modern sans-serif typography, and clear visual hierarchy</w:t>
      </w:r>
      <w:r>
        <w:t xml:space="preserve"> </w:t>
      </w:r>
      <w:fldSimple w:instr="NOTEREF _Ref_Footnote_26 \h \f">
        <w:r>
          <w:rPr>
            <w:vertAlign w:val="superscript"/>
          </w:rPr>
          <w:t>26</w:t>
        </w:r>
      </w:fldSimple>
      <w:r>
        <w:t xml:space="preserve">. The hero section leads with</w:t>
      </w:r>
      <w:r>
        <w:t xml:space="preserve"> </w:t>
      </w:r>
      <w:r>
        <w:t xml:space="preserve">“</w:t>
      </w:r>
      <w:r>
        <w:t xml:space="preserve">Master Food Safety With Confidence,</w:t>
      </w:r>
      <w:r>
        <w:t xml:space="preserve">”</w:t>
      </w:r>
      <w:r>
        <w:t xml:space="preserve"> </w:t>
      </w:r>
      <w:r>
        <w:t xml:space="preserve">a benefit-oriented headline supported by SAATCA accreditation imagery and a</w:t>
      </w:r>
      <w:r>
        <w:t xml:space="preserve"> </w:t>
      </w:r>
      <w:r>
        <w:t xml:space="preserve">“</w:t>
      </w:r>
      <w:r>
        <w:t xml:space="preserve">Certification Ready</w:t>
      </w:r>
      <w:r>
        <w:t xml:space="preserve">”</w:t>
      </w:r>
      <w:r>
        <w:t xml:space="preserve"> </w:t>
      </w:r>
      <w:r>
        <w:t xml:space="preserve">progress indicator that suggests an active learning environment. Navigation is simplified to four items — Home, Courses, Login, Register — reducing cognitive load compared to the main site’s six-item structure.</w:t>
      </w:r>
    </w:p>
    <w:p>
      <w:pPr>
        <w:pStyle w:val="BodyText"/>
      </w:pPr>
      <w:r>
        <w:t xml:space="preserve">However, this polished exterior conceals a fundamental supply constraint. The academy currently offers only three courses: Food Defence Plan &amp; Food Fraud Mitigation Plan (Intermediate, 5 hours, 4 lessons), R638 (Beginner, 6 hours, 3 lessons), and Food Safety Culture (Intermediate, 6 hours, 10 lessons)</w:t>
      </w:r>
      <w:r>
        <w:t xml:space="preserve"> </w:t>
      </w:r>
      <w:fldSimple w:instr="NOTEREF _Ref_Footnote_8 \h \f">
        <w:r>
          <w:rPr>
            <w:vertAlign w:val="superscript"/>
          </w:rPr>
          <w:t>8</w:t>
        </w:r>
      </w:fldSimple>
      <w:r>
        <w:t xml:space="preserve">. The course catalog page displays</w:t>
      </w:r>
      <w:r>
        <w:t xml:space="preserve"> </w:t>
      </w:r>
      <w:r>
        <w:t xml:space="preserve">“</w:t>
      </w:r>
      <w:r>
        <w:t xml:space="preserve">Showing 3 of 3 courses</w:t>
      </w:r>
      <w:r>
        <w:t xml:space="preserve">”</w:t>
      </w:r>
      <w:r>
        <w:t xml:space="preserve"> </w:t>
      </w:r>
      <w:r>
        <w:t xml:space="preserve">without pagination or additional category tabs, making the limited inventory immediately apparent to any visitor who navigates beyond the homepage.</w:t>
      </w:r>
    </w:p>
    <w:bookmarkEnd w:id="36"/>
    <w:bookmarkStart w:id="37" w:name="pricing-positioning"/>
    <w:p>
      <w:pPr>
        <w:pStyle w:val="Heading4"/>
      </w:pPr>
      <w:r>
        <w:t xml:space="preserve">1.2.2 Pricing Positioning</w:t>
      </w:r>
    </w:p>
    <w:p>
      <w:pPr>
        <w:pStyle w:val="FirstParagraph"/>
      </w:pPr>
      <w:r>
        <w:t xml:space="preserve">All three courses are priced uniformly at R1,600, placing RFC in the mid-market segment of South African food safety training</w:t>
      </w:r>
      <w:r>
        <w:t xml:space="preserve"> </w:t>
      </w:r>
      <w:fldSimple w:instr="NOTEREF _Ref_Footnote_8 \h \f">
        <w:r>
          <w:rPr>
            <w:vertAlign w:val="superscript"/>
          </w:rPr>
          <w:t>8</w:t>
        </w:r>
      </w:fldSimple>
      <w:r>
        <w:t xml:space="preserve">. This positioning becomes meaningful only when viewed against the competitive landscape. ASC offers R638 training at R879 — nearly 45% below RFC’s price — in what appears to be a strategic loss-leader approach to customer acquisition</w:t>
      </w:r>
      <w:r>
        <w:t xml:space="preserve"> </w:t>
      </w:r>
      <w:fldSimple w:instr="NOTEREF _Ref_Footnote_9 \h \f">
        <w:r>
          <w:rPr>
            <w:vertAlign w:val="superscript"/>
          </w:rPr>
          <w:t>9</w:t>
        </w:r>
      </w:fldSimple>
      <w:r>
        <w:t xml:space="preserve">. At the premium end, Entecom’s video-based eLearning for comparable content is priced at R3,393 including VAT, justified by the production value of video-based delivery and additional SETA accreditation</w:t>
      </w:r>
      <w:r>
        <w:t xml:space="preserve"> </w:t>
      </w:r>
      <w:fldSimple w:instr="NOTEREF _Ref_Footnote_36 \h \f">
        <w:r>
          <w:rPr>
            <w:vertAlign w:val="superscript"/>
          </w:rPr>
          <w:t>36</w:t>
        </w:r>
      </w:fldSimple>
      <w:r>
        <w:t xml:space="preserve">. Progress Excellence occupies the budget tier at R399 for basic food safety courses, targeting a different learner segment</w:t>
      </w:r>
      <w:r>
        <w:t xml:space="preserve"> </w:t>
      </w:r>
      <w:fldSimple w:instr="NOTEREF _Ref_Footnote_40 \h \f">
        <w:r>
          <w:rPr>
            <w:vertAlign w:val="superscript"/>
          </w:rPr>
          <w:t>40</w:t>
        </w:r>
      </w:fldSimple>
      <w:r>
        <w:t xml:space="preserve">.</w:t>
      </w:r>
    </w:p>
    <w:p>
      <w:pPr>
        <w:pStyle w:val="BodyText"/>
      </w:pPr>
      <w:r>
        <w:t xml:space="preserve">RFC’s uniform pricing across all courses, regardless of level or complexity, suggests a pricing strategy based on internal cost recovery rather than market-based value perception. The Food Safety Culture course, based on PAS 320 and representing a more specialised topic with 10 lessons, carries the same price as the R638 beginner course with only 3 lessons — a structure that may confuse value-sensitive buyers accustomed to tiered pricing correlating with content depth.</w:t>
      </w:r>
    </w:p>
    <w:bookmarkEnd w:id="37"/>
    <w:bookmarkStart w:id="38" w:name="accreditation-vs.-catalog-breadth"/>
    <w:p>
      <w:pPr>
        <w:pStyle w:val="Heading4"/>
      </w:pPr>
      <w:r>
        <w:t xml:space="preserve">1.2.3 Accreditation vs. Catalog Breadth</w:t>
      </w:r>
    </w:p>
    <w:p>
      <w:pPr>
        <w:pStyle w:val="FirstParagraph"/>
      </w:pPr>
      <w:r>
        <w:t xml:space="preserve">SAATCA accreditation is prominently displayed on the academy homepage, and the accreditation certificate is available for viewing — a credibility signal that distinguishes RFC from non-accredited providers</w:t>
      </w:r>
      <w:r>
        <w:t xml:space="preserve"> </w:t>
      </w:r>
      <w:fldSimple w:instr="NOTEREF _Ref_Footnote_26 \h \f">
        <w:r>
          <w:rPr>
            <w:vertAlign w:val="superscript"/>
          </w:rPr>
          <w:t>26</w:t>
        </w:r>
      </w:fldSimple>
      <w:r>
        <w:t xml:space="preserve">. This accreditation is particularly valuable because municipal Environmental Health Practitioners across South Africa typically require SAATCA-accredited training for Persons in Charge named on Certificates of Acceptability. However, the accreditation advantage is diluted by the catalog’s narrow scope. ASC lists 65+ courses across 8 categories and 5 delivery modes</w:t>
      </w:r>
      <w:r>
        <w:t xml:space="preserve"> </w:t>
      </w:r>
      <w:fldSimple w:instr="NOTEREF _Ref_Footnote_9 \h \f">
        <w:r>
          <w:rPr>
            <w:vertAlign w:val="superscript"/>
          </w:rPr>
          <w:t>9</w:t>
        </w:r>
      </w:fldSimple>
      <w:r>
        <w:t xml:space="preserve">. AssureCloud offers 16+ courses spanning auditing, HACCP, ISO 22000, and R638</w:t>
      </w:r>
      <w:r>
        <w:t xml:space="preserve"> </w:t>
      </w:r>
      <w:r>
        <w:rPr>
          <w:vertAlign w:val="superscript"/>
        </w:rPr>
        <w:footnoteReference w:id="41"/>
      </w:r>
      <w:r>
        <w:t xml:space="preserve">. Even the relatively focused Progress Excellence catalog contains 10+ courses across food safety, quality, and HSE disciplines</w:t>
      </w:r>
      <w:r>
        <w:t xml:space="preserve"> </w:t>
      </w:r>
      <w:fldSimple w:instr="NOTEREF _Ref_Footnote_40 \h \f">
        <w:r>
          <w:rPr>
            <w:vertAlign w:val="superscript"/>
          </w:rPr>
          <w:t>40</w:t>
        </w:r>
      </w:fldSimple>
      <w:r>
        <w:t xml:space="preserve">. RFC’s three-course offering represents a catalog gap of approximately 95% against the market leader, severely limiting cross-sell opportunities and repeat enrollment potential.</w:t>
      </w:r>
    </w:p>
    <w:bookmarkEnd w:id="38"/>
    <w:bookmarkStart w:id="39" w:name="Xc6a079421ca92c598aa71699010d5fd8e679b16"/>
    <w:p>
      <w:pPr>
        <w:pStyle w:val="Heading4"/>
      </w:pPr>
      <w:r>
        <w:t xml:space="preserve">1.2.4 Login/Register Functionality Without Lead Capture</w:t>
      </w:r>
    </w:p>
    <w:p>
      <w:pPr>
        <w:pStyle w:val="FirstParagraph"/>
      </w:pPr>
      <w:r>
        <w:t xml:space="preserve">The academy implements user registration and login functionality, supporting course enrollment and progress tracking</w:t>
      </w:r>
      <w:r>
        <w:t xml:space="preserve"> </w:t>
      </w:r>
      <w:fldSimple w:instr="NOTEREF _Ref_Footnote_26 \h \f">
        <w:r>
          <w:rPr>
            <w:vertAlign w:val="superscript"/>
          </w:rPr>
          <w:t>26</w:t>
        </w:r>
      </w:fldSimple>
      <w:r>
        <w:t xml:space="preserve">. The</w:t>
      </w:r>
      <w:r>
        <w:t xml:space="preserve"> </w:t>
      </w:r>
      <w:r>
        <w:t xml:space="preserve">“</w:t>
      </w:r>
      <w:r>
        <w:t xml:space="preserve">Get Started Free</w:t>
      </w:r>
      <w:r>
        <w:t xml:space="preserve">”</w:t>
      </w:r>
      <w:r>
        <w:t xml:space="preserve"> </w:t>
      </w:r>
      <w:r>
        <w:t xml:space="preserve">button on the hero suggests a freemium element, yet investigation reveals no free courses, trial lessons, or preview content available without payment. The registration flow captures name, email, and password but does not gather strategic data points — business type, location, current certification status, training budget — that would enable segmented marketing follow-up.</w:t>
      </w:r>
    </w:p>
    <w:p>
      <w:pPr>
        <w:pStyle w:val="BodyText"/>
      </w:pPr>
      <w:r>
        <w:t xml:space="preserve">More critically, the academy functions as a walled garden with no content accessible to anonymous visitors. Unlike competitors who publish free resources as acquisition funnels, RFC requires account creation even to view detailed course curricula. Food Safety Matters, by contrast, offers its full blog content, free R638 PDF download, and COA application guide without registration barriers, using the free resources as trust-building steps toward paid course enrollment</w:t>
      </w:r>
      <w:r>
        <w:t xml:space="preserve"> </w:t>
      </w:r>
      <w:fldSimple w:instr="NOTEREF _Ref_Footnote_38 \h \f">
        <w:r>
          <w:rPr>
            <w:vertAlign w:val="superscript"/>
          </w:rPr>
          <w:t>38</w:t>
        </w:r>
      </w:fldSimple>
      <w:r>
        <w:t xml:space="preserve">. The academy’s approach of gating all value behind either payment or account creation creates a high-friction experience for prospects in the awareness and consideration stages of the buyer journey.</w:t>
      </w:r>
    </w:p>
    <w:bookmarkEnd w:id="39"/>
    <w:bookmarkStart w:id="40" w:name="missing-social-proof-on-course-cards"/>
    <w:p>
      <w:pPr>
        <w:pStyle w:val="Heading4"/>
      </w:pPr>
      <w:r>
        <w:t xml:space="preserve">1.2.5 Missing Social Proof on Course Cards</w:t>
      </w:r>
    </w:p>
    <w:p>
      <w:pPr>
        <w:pStyle w:val="FirstParagraph"/>
      </w:pPr>
      <w:r>
        <w:t xml:space="preserve">Each course card displays difficulty level, duration, and lesson count, but all three courses show</w:t>
      </w:r>
      <w:r>
        <w:t xml:space="preserve"> </w:t>
      </w:r>
      <w:r>
        <w:t xml:space="preserve">“</w:t>
      </w:r>
      <w:r>
        <w:t xml:space="preserve">No reviews yet</w:t>
      </w:r>
      <w:r>
        <w:t xml:space="preserve">”</w:t>
      </w:r>
      <w:r>
        <w:t xml:space="preserve"> </w:t>
      </w:r>
      <w:r>
        <w:t xml:space="preserve">beneath their descriptions</w:t>
      </w:r>
      <w:r>
        <w:t xml:space="preserve"> </w:t>
      </w:r>
      <w:fldSimple w:instr="NOTEREF _Ref_Footnote_8 \h \f">
        <w:r>
          <w:rPr>
            <w:vertAlign w:val="superscript"/>
          </w:rPr>
          <w:t>8</w:t>
        </w:r>
      </w:fldSimple>
      <w:r>
        <w:t xml:space="preserve">. The testimonial section on the homepage presents three anonymous quotes attributed to</w:t>
      </w:r>
      <w:r>
        <w:t xml:space="preserve"> </w:t>
      </w:r>
      <w:r>
        <w:t xml:space="preserve">“</w:t>
      </w:r>
      <w:r>
        <w:t xml:space="preserve">Sarah — Restaurant Manager,</w:t>
      </w:r>
      <w:r>
        <w:t xml:space="preserve">”</w:t>
      </w:r>
      <w:r>
        <w:t xml:space="preserve"> </w:t>
      </w:r>
      <w:r>
        <w:t xml:space="preserve">“</w:t>
      </w:r>
      <w:r>
        <w:t xml:space="preserve">Michael — Food Safety Officer,</w:t>
      </w:r>
      <w:r>
        <w:t xml:space="preserve">”</w:t>
      </w:r>
      <w:r>
        <w:t xml:space="preserve"> </w:t>
      </w:r>
      <w:r>
        <w:t xml:space="preserve">and</w:t>
      </w:r>
      <w:r>
        <w:t xml:space="preserve"> </w:t>
      </w:r>
      <w:r>
        <w:t xml:space="preserve">“</w:t>
      </w:r>
      <w:r>
        <w:t xml:space="preserve">Lisa — Quality Assurance Manager</w:t>
      </w:r>
      <w:r>
        <w:t xml:space="preserve">”</w:t>
      </w:r>
      <w:r>
        <w:t xml:space="preserve"> </w:t>
      </w:r>
      <w:r>
        <w:t xml:space="preserve">without surnames, company affiliations, photographs, or verifiable credentials</w:t>
      </w:r>
      <w:r>
        <w:t xml:space="preserve"> </w:t>
      </w:r>
      <w:fldSimple w:instr="NOTEREF _Ref_Footnote_26 \h \f">
        <w:r>
          <w:rPr>
            <w:vertAlign w:val="superscript"/>
          </w:rPr>
          <w:t>26</w:t>
        </w:r>
      </w:fldSimple>
      <w:r>
        <w:t xml:space="preserve">. The footer claims RFC Academy is the choice of</w:t>
      </w:r>
      <w:r>
        <w:t xml:space="preserve"> </w:t>
      </w:r>
      <w:r>
        <w:t xml:space="preserve">“</w:t>
      </w:r>
      <w:r>
        <w:t xml:space="preserve">thousands of professionals,</w:t>
      </w:r>
      <w:r>
        <w:t xml:space="preserve">”</w:t>
      </w:r>
      <w:r>
        <w:t xml:space="preserve"> </w:t>
      </w:r>
      <w:r>
        <w:t xml:space="preserve">yet no enrollment counts, completion statistics, or verified learner reviews support this assertion. In a training market where Entecom cites 9,000+ graduates and 250+ company partnerships on its platform</w:t>
      </w:r>
      <w:r>
        <w:t xml:space="preserve"> </w:t>
      </w:r>
      <w:r>
        <w:rPr>
          <w:vertAlign w:val="superscript"/>
        </w:rPr>
        <w:footnoteReference w:id="42"/>
      </w:r>
      <w:r>
        <w:t xml:space="preserve">, and where prospective students increasingly rely on peer validation before committing R1,600, the absence of authentic social proof represents a significant conversion barrier.</w:t>
      </w:r>
    </w:p>
    <w:bookmarkEnd w:id="40"/>
    <w:bookmarkEnd w:id="41"/>
    <w:bookmarkStart w:id="44" w:name="summary-of-critical-issues"/>
    <w:p>
      <w:pPr>
        <w:pStyle w:val="Heading3"/>
      </w:pPr>
      <w:r>
        <w:t xml:space="preserve">1.3 Summary of Critical Issues</w:t>
      </w:r>
    </w:p>
    <w:bookmarkStart w:id="42" w:name="Xb974e4e2cb915e3f0d9a8a2b2f0f6132f31fe6e"/>
    <w:p>
      <w:pPr>
        <w:pStyle w:val="Heading4"/>
      </w:pPr>
      <w:r>
        <w:t xml:space="preserve">1.3.1 Priority Matrix of Issues by Business Impact and Implementation Effort</w:t>
      </w:r>
    </w:p>
    <w:p>
      <w:pPr>
        <w:pStyle w:val="FirstParagraph"/>
      </w:pPr>
      <w:r>
        <w:t xml:space="preserve">The following table ranks the critical issues identified across both RFC properties according to their potential impact on lead generation and search visibility, balanced against the implementation effort required. Items in the</w:t>
      </w:r>
      <w:r>
        <w:t xml:space="preserve"> </w:t>
      </w:r>
      <w:r>
        <w:t xml:space="preserve">“</w:t>
      </w:r>
      <w:r>
        <w:t xml:space="preserve">Quick Wins</w:t>
      </w:r>
      <w:r>
        <w:t xml:space="preserve">”</w:t>
      </w:r>
      <w:r>
        <w:t xml:space="preserve"> </w:t>
      </w:r>
      <w:r>
        <w:t xml:space="preserve">quadrant demand immediate attention due to their high impact-to-effort ratio.</w:t>
      </w:r>
    </w:p>
    <w:tbl>
      <w:tblPr>
        <w:tblStyle w:val="Table"/>
        <w:tblW w:type="pct" w:w="5000"/>
        <w:tblLook w:firstRow="1" w:lastRow="0" w:firstColumn="0" w:lastColumn="0" w:noHBand="0" w:noVBand="0" w:val="0020"/>
      </w:tblPr>
      <w:tblGrid>
        <w:gridCol w:w="1320"/>
        <w:gridCol w:w="1650"/>
        <w:gridCol w:w="1650"/>
        <w:gridCol w:w="1650"/>
        <w:gridCol w:w="1650"/>
      </w:tblGrid>
      <w:tr>
        <w:trPr>
          <w:tblHeader w:val="true"/>
        </w:trPr>
        <w:tc>
          <w:tcPr/>
          <w:p>
            <w:pPr>
              <w:pStyle w:val="Compact"/>
              <w:jc w:val="left"/>
            </w:pPr>
            <w:r>
              <w:t xml:space="preserve">Issue</w:t>
            </w:r>
          </w:p>
        </w:tc>
        <w:tc>
          <w:tcPr/>
          <w:p>
            <w:pPr>
              <w:pStyle w:val="Compact"/>
              <w:jc w:val="center"/>
            </w:pPr>
            <w:r>
              <w:t xml:space="preserve">Business Impact</w:t>
            </w:r>
          </w:p>
        </w:tc>
        <w:tc>
          <w:tcPr/>
          <w:p>
            <w:pPr>
              <w:pStyle w:val="Compact"/>
              <w:jc w:val="center"/>
            </w:pPr>
            <w:r>
              <w:t xml:space="preserve">Effort Required</w:t>
            </w:r>
          </w:p>
        </w:tc>
        <w:tc>
          <w:tcPr/>
          <w:p>
            <w:pPr>
              <w:pStyle w:val="Compact"/>
              <w:jc w:val="center"/>
            </w:pPr>
            <w:r>
              <w:t xml:space="preserve">Priority Quadrant</w:t>
            </w:r>
          </w:p>
        </w:tc>
        <w:tc>
          <w:tcPr/>
          <w:p>
            <w:pPr>
              <w:pStyle w:val="Compact"/>
              <w:jc w:val="center"/>
            </w:pPr>
            <w:r>
              <w:t xml:space="preserve">Recommended Timeline</w:t>
            </w:r>
          </w:p>
        </w:tc>
      </w:tr>
      <w:tr>
        <w:tc>
          <w:tcPr/>
          <w:p>
            <w:pPr>
              <w:pStyle w:val="Compact"/>
              <w:jc w:val="left"/>
            </w:pPr>
            <w:r>
              <w:t xml:space="preserve">No blog or content hub on rfcsa.co.za</w:t>
            </w:r>
          </w:p>
        </w:tc>
        <w:tc>
          <w:tcPr/>
          <w:p>
            <w:pPr>
              <w:pStyle w:val="Compact"/>
              <w:jc w:val="center"/>
            </w:pPr>
            <w:r>
              <w:t xml:space="preserve">Very High — eliminates organic traffic acquisition</w:t>
            </w:r>
          </w:p>
        </w:tc>
        <w:tc>
          <w:tcPr/>
          <w:p>
            <w:pPr>
              <w:pStyle w:val="Compact"/>
              <w:jc w:val="center"/>
            </w:pPr>
            <w:r>
              <w:t xml:space="preserve">High — requires content strategy, writing, CMS setup</w:t>
            </w:r>
          </w:p>
        </w:tc>
        <w:tc>
          <w:tcPr/>
          <w:p>
            <w:pPr>
              <w:pStyle w:val="Compact"/>
              <w:jc w:val="center"/>
            </w:pPr>
            <w:r>
              <w:t xml:space="preserve">Strategic Investment</w:t>
            </w:r>
          </w:p>
        </w:tc>
        <w:tc>
          <w:tcPr/>
          <w:p>
            <w:pPr>
              <w:pStyle w:val="Compact"/>
              <w:jc w:val="center"/>
            </w:pPr>
            <w:r>
              <w:t xml:space="preserve">Months 1–2</w:t>
            </w:r>
          </w:p>
        </w:tc>
      </w:tr>
      <w:tr>
        <w:tc>
          <w:tcPr/>
          <w:p>
            <w:pPr>
              <w:pStyle w:val="Compact"/>
              <w:jc w:val="left"/>
            </w:pPr>
            <w:r>
              <w:t xml:space="preserve">No lead magnets or email capture</w:t>
            </w:r>
          </w:p>
        </w:tc>
        <w:tc>
          <w:tcPr/>
          <w:p>
            <w:pPr>
              <w:pStyle w:val="Compact"/>
              <w:jc w:val="center"/>
            </w:pPr>
            <w:r>
              <w:t xml:space="preserve">Very High — 100% of anonymous visitors lost</w:t>
            </w:r>
          </w:p>
        </w:tc>
        <w:tc>
          <w:tcPr/>
          <w:p>
            <w:pPr>
              <w:pStyle w:val="Compact"/>
              <w:jc w:val="center"/>
            </w:pPr>
            <w:r>
              <w:t xml:space="preserve">Medium — PDF creation, landing pages, ESP integration</w:t>
            </w:r>
          </w:p>
        </w:tc>
        <w:tc>
          <w:tcPr/>
          <w:p>
            <w:pPr>
              <w:pStyle w:val="Compact"/>
              <w:jc w:val="center"/>
            </w:pPr>
            <w:r>
              <w:t xml:space="preserve">Quick Win</w:t>
            </w:r>
          </w:p>
        </w:tc>
        <w:tc>
          <w:tcPr/>
          <w:p>
            <w:pPr>
              <w:pStyle w:val="Compact"/>
              <w:jc w:val="center"/>
            </w:pPr>
            <w:r>
              <w:t xml:space="preserve">Weeks 1–2</w:t>
            </w:r>
          </w:p>
        </w:tc>
      </w:tr>
      <w:tr>
        <w:tc>
          <w:tcPr/>
          <w:p>
            <w:pPr>
              <w:pStyle w:val="Compact"/>
              <w:jc w:val="left"/>
            </w:pPr>
            <w:r>
              <w:t xml:space="preserve">Mobile non-optimization of rfcsa.co.za</w:t>
            </w:r>
          </w:p>
        </w:tc>
        <w:tc>
          <w:tcPr/>
          <w:p>
            <w:pPr>
              <w:pStyle w:val="Compact"/>
              <w:jc w:val="center"/>
            </w:pPr>
            <w:r>
              <w:t xml:space="preserve">Very High — majority of SA traffic is mobile</w:t>
            </w:r>
          </w:p>
        </w:tc>
        <w:tc>
          <w:tcPr/>
          <w:p>
            <w:pPr>
              <w:pStyle w:val="Compact"/>
              <w:jc w:val="center"/>
            </w:pPr>
            <w:r>
              <w:t xml:space="preserve">High — may require theme rebuild</w:t>
            </w:r>
          </w:p>
        </w:tc>
        <w:tc>
          <w:tcPr/>
          <w:p>
            <w:pPr>
              <w:pStyle w:val="Compact"/>
              <w:jc w:val="center"/>
            </w:pPr>
            <w:r>
              <w:t xml:space="preserve">Strategic Investment</w:t>
            </w:r>
          </w:p>
        </w:tc>
        <w:tc>
          <w:tcPr/>
          <w:p>
            <w:pPr>
              <w:pStyle w:val="Compact"/>
              <w:jc w:val="center"/>
            </w:pPr>
            <w:r>
              <w:t xml:space="preserve">Months 1–3</w:t>
            </w:r>
          </w:p>
        </w:tc>
      </w:tr>
      <w:tr>
        <w:tc>
          <w:tcPr/>
          <w:p>
            <w:pPr>
              <w:pStyle w:val="Compact"/>
              <w:jc w:val="left"/>
            </w:pPr>
            <w:r>
              <w:t xml:space="preserve">Academy limited to 3 courses</w:t>
            </w:r>
          </w:p>
        </w:tc>
        <w:tc>
          <w:tcPr/>
          <w:p>
            <w:pPr>
              <w:pStyle w:val="Compact"/>
              <w:jc w:val="center"/>
            </w:pPr>
            <w:r>
              <w:t xml:space="preserve">High — constrains revenue and cross-sell potential</w:t>
            </w:r>
          </w:p>
        </w:tc>
        <w:tc>
          <w:tcPr/>
          <w:p>
            <w:pPr>
              <w:pStyle w:val="Compact"/>
              <w:jc w:val="center"/>
            </w:pPr>
            <w:r>
              <w:t xml:space="preserve">High — curriculum development, video production</w:t>
            </w:r>
          </w:p>
        </w:tc>
        <w:tc>
          <w:tcPr/>
          <w:p>
            <w:pPr>
              <w:pStyle w:val="Compact"/>
              <w:jc w:val="center"/>
            </w:pPr>
            <w:r>
              <w:t xml:space="preserve">Strategic Investment</w:t>
            </w:r>
          </w:p>
        </w:tc>
        <w:tc>
          <w:tcPr/>
          <w:p>
            <w:pPr>
              <w:pStyle w:val="Compact"/>
              <w:jc w:val="center"/>
            </w:pPr>
            <w:r>
              <w:t xml:space="preserve">Months 3–6</w:t>
            </w:r>
          </w:p>
        </w:tc>
      </w:tr>
      <w:tr>
        <w:tc>
          <w:tcPr/>
          <w:p>
            <w:pPr>
              <w:pStyle w:val="Compact"/>
              <w:jc w:val="left"/>
            </w:pPr>
            <w:r>
              <w:t xml:space="preserve">Missing schema markup</w:t>
            </w:r>
          </w:p>
        </w:tc>
        <w:tc>
          <w:tcPr/>
          <w:p>
            <w:pPr>
              <w:pStyle w:val="Compact"/>
              <w:jc w:val="center"/>
            </w:pPr>
            <w:r>
              <w:t xml:space="preserve">High — prevents rich snippets, local pack visibility</w:t>
            </w:r>
          </w:p>
        </w:tc>
        <w:tc>
          <w:tcPr/>
          <w:p>
            <w:pPr>
              <w:pStyle w:val="Compact"/>
              <w:jc w:val="center"/>
            </w:pPr>
            <w:r>
              <w:t xml:space="preserve">Low — technical implementation via plugin or code</w:t>
            </w:r>
          </w:p>
        </w:tc>
        <w:tc>
          <w:tcPr/>
          <w:p>
            <w:pPr>
              <w:pStyle w:val="Compact"/>
              <w:jc w:val="center"/>
            </w:pPr>
            <w:r>
              <w:t xml:space="preserve">Quick Win</w:t>
            </w:r>
          </w:p>
        </w:tc>
        <w:tc>
          <w:tcPr/>
          <w:p>
            <w:pPr>
              <w:pStyle w:val="Compact"/>
              <w:jc w:val="center"/>
            </w:pPr>
            <w:r>
              <w:t xml:space="preserve">Week 1</w:t>
            </w:r>
          </w:p>
        </w:tc>
      </w:tr>
      <w:tr>
        <w:tc>
          <w:tcPr/>
          <w:p>
            <w:pPr>
              <w:pStyle w:val="Compact"/>
              <w:jc w:val="left"/>
            </w:pPr>
            <w:r>
              <w:t xml:space="preserve">No FAQ sections on service pages</w:t>
            </w:r>
          </w:p>
        </w:tc>
        <w:tc>
          <w:tcPr/>
          <w:p>
            <w:pPr>
              <w:pStyle w:val="Compact"/>
              <w:jc w:val="center"/>
            </w:pPr>
            <w:r>
              <w:t xml:space="preserve">Medium-High — misses</w:t>
            </w:r>
            <w:r>
              <w:t xml:space="preserve"> </w:t>
            </w:r>
            <w:r>
              <w:t xml:space="preserve">“</w:t>
            </w:r>
            <w:r>
              <w:t xml:space="preserve">People Also Ask</w:t>
            </w:r>
            <w:r>
              <w:t xml:space="preserve">”</w:t>
            </w:r>
            <w:r>
              <w:t xml:space="preserve"> </w:t>
            </w:r>
            <w:r>
              <w:t xml:space="preserve">opportunities</w:t>
            </w:r>
          </w:p>
        </w:tc>
        <w:tc>
          <w:tcPr/>
          <w:p>
            <w:pPr>
              <w:pStyle w:val="Compact"/>
              <w:jc w:val="center"/>
            </w:pPr>
            <w:r>
              <w:t xml:space="preserve">Low — write 5–10 FAQs per core service page</w:t>
            </w:r>
          </w:p>
        </w:tc>
        <w:tc>
          <w:tcPr/>
          <w:p>
            <w:pPr>
              <w:pStyle w:val="Compact"/>
              <w:jc w:val="center"/>
            </w:pPr>
            <w:r>
              <w:t xml:space="preserve">Quick Win</w:t>
            </w:r>
          </w:p>
        </w:tc>
        <w:tc>
          <w:tcPr/>
          <w:p>
            <w:pPr>
              <w:pStyle w:val="Compact"/>
              <w:jc w:val="center"/>
            </w:pPr>
            <w:r>
              <w:t xml:space="preserve">Weeks 1–2</w:t>
            </w:r>
          </w:p>
        </w:tc>
      </w:tr>
      <w:tr>
        <w:tc>
          <w:tcPr/>
          <w:p>
            <w:pPr>
              <w:pStyle w:val="Compact"/>
              <w:jc w:val="left"/>
            </w:pPr>
            <w:r>
              <w:t xml:space="preserve">Suboptimal page titles and meta descriptions</w:t>
            </w:r>
          </w:p>
        </w:tc>
        <w:tc>
          <w:tcPr/>
          <w:p>
            <w:pPr>
              <w:pStyle w:val="Compact"/>
              <w:jc w:val="center"/>
            </w:pPr>
            <w:r>
              <w:t xml:space="preserve">Medium-High — reduces click-through rates from SERP</w:t>
            </w:r>
          </w:p>
        </w:tc>
        <w:tc>
          <w:tcPr/>
          <w:p>
            <w:pPr>
              <w:pStyle w:val="Compact"/>
              <w:jc w:val="center"/>
            </w:pPr>
            <w:r>
              <w:t xml:space="preserve">Low — rewrite 20–30 key pages</w:t>
            </w:r>
          </w:p>
        </w:tc>
        <w:tc>
          <w:tcPr/>
          <w:p>
            <w:pPr>
              <w:pStyle w:val="Compact"/>
              <w:jc w:val="center"/>
            </w:pPr>
            <w:r>
              <w:t xml:space="preserve">Quick Win</w:t>
            </w:r>
          </w:p>
        </w:tc>
        <w:tc>
          <w:tcPr/>
          <w:p>
            <w:pPr>
              <w:pStyle w:val="Compact"/>
              <w:jc w:val="center"/>
            </w:pPr>
            <w:r>
              <w:t xml:space="preserve">Week 1</w:t>
            </w:r>
          </w:p>
        </w:tc>
      </w:tr>
      <w:tr>
        <w:tc>
          <w:tcPr/>
          <w:p>
            <w:pPr>
              <w:pStyle w:val="Compact"/>
              <w:jc w:val="left"/>
            </w:pPr>
            <w:r>
              <w:t xml:space="preserve">No course reviews or authentic testimonials</w:t>
            </w:r>
          </w:p>
        </w:tc>
        <w:tc>
          <w:tcPr/>
          <w:p>
            <w:pPr>
              <w:pStyle w:val="Compact"/>
              <w:jc w:val="center"/>
            </w:pPr>
            <w:r>
              <w:t xml:space="preserve">Medium — reduces conversion confidence</w:t>
            </w:r>
          </w:p>
        </w:tc>
        <w:tc>
          <w:tcPr/>
          <w:p>
            <w:pPr>
              <w:pStyle w:val="Compact"/>
              <w:jc w:val="center"/>
            </w:pPr>
            <w:r>
              <w:t xml:space="preserve">Low — request reviews from past students</w:t>
            </w:r>
          </w:p>
        </w:tc>
        <w:tc>
          <w:tcPr/>
          <w:p>
            <w:pPr>
              <w:pStyle w:val="Compact"/>
              <w:jc w:val="center"/>
            </w:pPr>
            <w:r>
              <w:t xml:space="preserve">Quick Win</w:t>
            </w:r>
          </w:p>
        </w:tc>
        <w:tc>
          <w:tcPr/>
          <w:p>
            <w:pPr>
              <w:pStyle w:val="Compact"/>
              <w:jc w:val="center"/>
            </w:pPr>
            <w:r>
              <w:t xml:space="preserve">Weeks 1–2</w:t>
            </w:r>
          </w:p>
        </w:tc>
      </w:tr>
      <w:tr>
        <w:tc>
          <w:tcPr/>
          <w:p>
            <w:pPr>
              <w:pStyle w:val="Compact"/>
              <w:jc w:val="left"/>
            </w:pPr>
            <w:r>
              <w:t xml:space="preserve">No city-specific landing pages</w:t>
            </w:r>
          </w:p>
        </w:tc>
        <w:tc>
          <w:tcPr/>
          <w:p>
            <w:pPr>
              <w:pStyle w:val="Compact"/>
              <w:jc w:val="center"/>
            </w:pPr>
            <w:r>
              <w:t xml:space="preserve">Medium-High — misses local SEO intent</w:t>
            </w:r>
          </w:p>
        </w:tc>
        <w:tc>
          <w:tcPr/>
          <w:p>
            <w:pPr>
              <w:pStyle w:val="Compact"/>
              <w:jc w:val="center"/>
            </w:pPr>
            <w:r>
              <w:t xml:space="preserve">Medium — create 5 city pages with unique content</w:t>
            </w:r>
          </w:p>
        </w:tc>
        <w:tc>
          <w:tcPr/>
          <w:p>
            <w:pPr>
              <w:pStyle w:val="Compact"/>
              <w:jc w:val="center"/>
            </w:pPr>
            <w:r>
              <w:t xml:space="preserve">Short-Term</w:t>
            </w:r>
          </w:p>
        </w:tc>
        <w:tc>
          <w:tcPr/>
          <w:p>
            <w:pPr>
              <w:pStyle w:val="Compact"/>
              <w:jc w:val="center"/>
            </w:pPr>
            <w:r>
              <w:t xml:space="preserve">Month 2</w:t>
            </w:r>
          </w:p>
        </w:tc>
      </w:tr>
      <w:tr>
        <w:tc>
          <w:tcPr/>
          <w:p>
            <w:pPr>
              <w:pStyle w:val="Compact"/>
              <w:jc w:val="left"/>
            </w:pPr>
            <w:r>
              <w:t xml:space="preserve">Slow page speed (images, caching, CDN)</w:t>
            </w:r>
          </w:p>
        </w:tc>
        <w:tc>
          <w:tcPr/>
          <w:p>
            <w:pPr>
              <w:pStyle w:val="Compact"/>
              <w:jc w:val="center"/>
            </w:pPr>
            <w:r>
              <w:t xml:space="preserve">Medium — affects rankings and bounce rate</w:t>
            </w:r>
          </w:p>
        </w:tc>
        <w:tc>
          <w:tcPr/>
          <w:p>
            <w:pPr>
              <w:pStyle w:val="Compact"/>
              <w:jc w:val="center"/>
            </w:pPr>
            <w:r>
              <w:t xml:space="preserve">Low-Medium — compress images, enable Cloudflare</w:t>
            </w:r>
          </w:p>
        </w:tc>
        <w:tc>
          <w:tcPr/>
          <w:p>
            <w:pPr>
              <w:pStyle w:val="Compact"/>
              <w:jc w:val="center"/>
            </w:pPr>
            <w:r>
              <w:t xml:space="preserve">Quick Win</w:t>
            </w:r>
          </w:p>
        </w:tc>
        <w:tc>
          <w:tcPr/>
          <w:p>
            <w:pPr>
              <w:pStyle w:val="Compact"/>
              <w:jc w:val="center"/>
            </w:pPr>
            <w:r>
              <w:t xml:space="preserve">Week 1</w:t>
            </w:r>
          </w:p>
        </w:tc>
      </w:tr>
      <w:tr>
        <w:tc>
          <w:tcPr/>
          <w:p>
            <w:pPr>
              <w:pStyle w:val="Compact"/>
              <w:jc w:val="left"/>
            </w:pPr>
            <w:r>
              <w:t xml:space="preserve">No WhatsApp/chat integration on rfcsa.co.za</w:t>
            </w:r>
          </w:p>
        </w:tc>
        <w:tc>
          <w:tcPr/>
          <w:p>
            <w:pPr>
              <w:pStyle w:val="Compact"/>
              <w:jc w:val="center"/>
            </w:pPr>
            <w:r>
              <w:t xml:space="preserve">Medium — SA market prefers WhatsApp for B2B</w:t>
            </w:r>
          </w:p>
        </w:tc>
        <w:tc>
          <w:tcPr/>
          <w:p>
            <w:pPr>
              <w:pStyle w:val="Compact"/>
              <w:jc w:val="center"/>
            </w:pPr>
            <w:r>
              <w:t xml:space="preserve">Low — add click-to-WhatsApp button</w:t>
            </w:r>
          </w:p>
        </w:tc>
        <w:tc>
          <w:tcPr/>
          <w:p>
            <w:pPr>
              <w:pStyle w:val="Compact"/>
              <w:jc w:val="center"/>
            </w:pPr>
            <w:r>
              <w:t xml:space="preserve">Quick Win</w:t>
            </w:r>
          </w:p>
        </w:tc>
        <w:tc>
          <w:tcPr/>
          <w:p>
            <w:pPr>
              <w:pStyle w:val="Compact"/>
              <w:jc w:val="center"/>
            </w:pPr>
            <w:r>
              <w:t xml:space="preserve">Week 1</w:t>
            </w:r>
          </w:p>
        </w:tc>
      </w:tr>
      <w:tr>
        <w:tc>
          <w:tcPr/>
          <w:p>
            <w:pPr>
              <w:pStyle w:val="Compact"/>
              <w:jc w:val="left"/>
            </w:pPr>
            <w:r>
              <w:t xml:space="preserve">Uniform R1,600 pricing without value tiers</w:t>
            </w:r>
          </w:p>
        </w:tc>
        <w:tc>
          <w:tcPr/>
          <w:p>
            <w:pPr>
              <w:pStyle w:val="Compact"/>
              <w:jc w:val="center"/>
            </w:pPr>
            <w:r>
              <w:t xml:space="preserve">Medium — may confuse price-sensitive buyers</w:t>
            </w:r>
          </w:p>
        </w:tc>
        <w:tc>
          <w:tcPr/>
          <w:p>
            <w:pPr>
              <w:pStyle w:val="Compact"/>
              <w:jc w:val="center"/>
            </w:pPr>
            <w:r>
              <w:t xml:space="preserve">Low — implement tiered or bundle pricing</w:t>
            </w:r>
          </w:p>
        </w:tc>
        <w:tc>
          <w:tcPr/>
          <w:p>
            <w:pPr>
              <w:pStyle w:val="Compact"/>
              <w:jc w:val="center"/>
            </w:pPr>
            <w:r>
              <w:t xml:space="preserve">Quick Win</w:t>
            </w:r>
          </w:p>
        </w:tc>
        <w:tc>
          <w:tcPr/>
          <w:p>
            <w:pPr>
              <w:pStyle w:val="Compact"/>
              <w:jc w:val="center"/>
            </w:pPr>
            <w:r>
              <w:t xml:space="preserve">Week 2</w:t>
            </w:r>
          </w:p>
        </w:tc>
      </w:tr>
    </w:tbl>
    <w:p>
      <w:pPr>
        <w:pStyle w:val="BodyText"/>
      </w:pPr>
      <w:r>
        <w:t xml:space="preserve">The distribution of issues across the priority matrix reveals a clear pattern: approximately half of the identified problems are</w:t>
      </w:r>
      <w:r>
        <w:t xml:space="preserve"> </w:t>
      </w:r>
      <w:r>
        <w:t xml:space="preserve">“</w:t>
      </w:r>
      <w:r>
        <w:t xml:space="preserve">Quick Wins</w:t>
      </w:r>
      <w:r>
        <w:t xml:space="preserve">”</w:t>
      </w:r>
      <w:r>
        <w:t xml:space="preserve"> </w:t>
      </w:r>
      <w:r>
        <w:t xml:space="preserve">requiring low effort but delivering meaningful business impact. These should be executed in parallel during the first two weeks of the engagement, before larger strategic investments begin. The schema markup, page title optimisation, image compression, and WhatsApp integration collectively require minimal development time yet address technical signals that Google considers in ranking calculations. The blog launch and course catalog expansion represent the highest-impact strategic investments but require sustained effort over multiple months.</w:t>
      </w:r>
    </w:p>
    <w:bookmarkEnd w:id="42"/>
    <w:bookmarkStart w:id="43" w:name="Xf5b49654dfd1ae521bcc129bbb33391da8abcc9"/>
    <w:p>
      <w:pPr>
        <w:pStyle w:val="Heading4"/>
      </w:pPr>
      <w:r>
        <w:t xml:space="preserve">1.3.2 RFC Current State vs. Competitor Benchmarks</w:t>
      </w:r>
    </w:p>
    <w:p>
      <w:pPr>
        <w:pStyle w:val="FirstParagraph"/>
      </w:pPr>
      <w:r>
        <w:t xml:space="preserve">The following comparison table evaluates RFC’s digital presence against five direct competitors across eight dimensions critical to lead generation and search visibility in the South African food safety market.</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Dimension</w:t>
            </w:r>
          </w:p>
        </w:tc>
        <w:tc>
          <w:tcPr/>
          <w:p>
            <w:pPr>
              <w:pStyle w:val="Compact"/>
              <w:jc w:val="left"/>
            </w:pPr>
            <w:r>
              <w:t xml:space="preserve">RFC (rfcsa.co.za)</w:t>
            </w:r>
          </w:p>
        </w:tc>
        <w:tc>
          <w:tcPr/>
          <w:p>
            <w:pPr>
              <w:pStyle w:val="Compact"/>
              <w:jc w:val="left"/>
            </w:pPr>
            <w:r>
              <w:t xml:space="preserve">ASC Food Safety</w:t>
            </w:r>
            <w:r>
              <w:t xml:space="preserve"> </w:t>
            </w:r>
            <w:fldSimple w:instr="NOTEREF _Ref_Footnote_9 \h \f">
              <w:r>
                <w:rPr>
                  <w:vertAlign w:val="superscript"/>
                </w:rPr>
                <w:t>9</w:t>
              </w:r>
            </w:fldSimple>
          </w:p>
        </w:tc>
        <w:tc>
          <w:tcPr/>
          <w:p>
            <w:pPr>
              <w:pStyle w:val="Compact"/>
              <w:jc w:val="left"/>
            </w:pPr>
            <w:r>
              <w:t xml:space="preserve">Entecom</w:t>
            </w:r>
            <w:r>
              <w:t xml:space="preserve"> </w:t>
            </w:r>
            <w:fldSimple w:instr="NOTEREF _Ref_Footnote_36 \h \f">
              <w:r>
                <w:rPr>
                  <w:vertAlign w:val="superscript"/>
                </w:rPr>
                <w:t>36</w:t>
              </w:r>
            </w:fldSimple>
          </w:p>
        </w:tc>
        <w:tc>
          <w:tcPr/>
          <w:p>
            <w:pPr>
              <w:pStyle w:val="Compact"/>
              <w:jc w:val="left"/>
            </w:pPr>
            <w:r>
              <w:t xml:space="preserve">Shilux</w:t>
            </w:r>
            <w:r>
              <w:t xml:space="preserve"> </w:t>
            </w:r>
            <w:fldSimple w:instr="NOTEREF _Ref_Footnote_23 \h \f">
              <w:r>
                <w:rPr>
                  <w:vertAlign w:val="superscript"/>
                </w:rPr>
                <w:t>23</w:t>
              </w:r>
            </w:fldSimple>
          </w:p>
        </w:tc>
        <w:tc>
          <w:tcPr/>
          <w:p>
            <w:pPr>
              <w:pStyle w:val="Compact"/>
              <w:jc w:val="left"/>
            </w:pPr>
            <w:r>
              <w:t xml:space="preserve">Progress Excellence</w:t>
            </w:r>
            <w:r>
              <w:t xml:space="preserve"> </w:t>
            </w:r>
            <w:fldSimple w:instr="NOTEREF _Ref_Footnote_40 \h \f">
              <w:r>
                <w:rPr>
                  <w:vertAlign w:val="superscript"/>
                </w:rPr>
                <w:t>40</w:t>
              </w:r>
            </w:fldSimple>
          </w:p>
        </w:tc>
        <w:tc>
          <w:tcPr/>
          <w:p>
            <w:pPr>
              <w:pStyle w:val="Compact"/>
              <w:jc w:val="left"/>
            </w:pPr>
            <w:r>
              <w:t xml:space="preserve">Food Safety Matters</w:t>
            </w:r>
            <w:r>
              <w:t xml:space="preserve"> </w:t>
            </w:r>
            <w:fldSimple w:instr="NOTEREF _Ref_Footnote_38 \h \f">
              <w:r>
                <w:rPr>
                  <w:vertAlign w:val="superscript"/>
                </w:rPr>
                <w:t>38</w:t>
              </w:r>
            </w:fldSimple>
          </w:p>
        </w:tc>
      </w:tr>
      <w:tr>
        <w:tc>
          <w:tcPr/>
          <w:p>
            <w:pPr>
              <w:pStyle w:val="Compact"/>
              <w:jc w:val="left"/>
            </w:pPr>
            <w:r>
              <w:rPr>
                <w:bCs/>
                <w:b/>
              </w:rPr>
              <w:t xml:space="preserve">Courses Offered</w:t>
            </w:r>
          </w:p>
        </w:tc>
        <w:tc>
          <w:tcPr/>
          <w:p>
            <w:pPr>
              <w:pStyle w:val="Compact"/>
              <w:jc w:val="left"/>
            </w:pPr>
            <w:r>
              <w:t xml:space="preserve">3 online courses</w:t>
            </w:r>
          </w:p>
        </w:tc>
        <w:tc>
          <w:tcPr/>
          <w:p>
            <w:pPr>
              <w:pStyle w:val="Compact"/>
              <w:jc w:val="left"/>
            </w:pPr>
            <w:r>
              <w:t xml:space="preserve">65+ across 8 categories</w:t>
            </w:r>
          </w:p>
        </w:tc>
        <w:tc>
          <w:tcPr/>
          <w:p>
            <w:pPr>
              <w:pStyle w:val="Compact"/>
              <w:jc w:val="left"/>
            </w:pPr>
            <w:r>
              <w:t xml:space="preserve">15+ eLearning + classroom</w:t>
            </w:r>
          </w:p>
        </w:tc>
        <w:tc>
          <w:tcPr/>
          <w:p>
            <w:pPr>
              <w:pStyle w:val="Compact"/>
              <w:jc w:val="left"/>
            </w:pPr>
            <w:r>
              <w:t xml:space="preserve">10+ specialised programs</w:t>
            </w:r>
          </w:p>
        </w:tc>
        <w:tc>
          <w:tcPr/>
          <w:p>
            <w:pPr>
              <w:pStyle w:val="Compact"/>
              <w:jc w:val="left"/>
            </w:pPr>
            <w:r>
              <w:t xml:space="preserve">10+ across food safety, quality, HSE</w:t>
            </w:r>
          </w:p>
        </w:tc>
        <w:tc>
          <w:tcPr/>
          <w:p>
            <w:pPr>
              <w:pStyle w:val="Compact"/>
              <w:jc w:val="left"/>
            </w:pPr>
            <w:r>
              <w:t xml:space="preserve">2 focused courses</w:t>
            </w:r>
          </w:p>
        </w:tc>
      </w:tr>
      <w:tr>
        <w:tc>
          <w:tcPr/>
          <w:p>
            <w:pPr>
              <w:pStyle w:val="Compact"/>
              <w:jc w:val="left"/>
            </w:pPr>
            <w:r>
              <w:rPr>
                <w:bCs/>
                <w:b/>
              </w:rPr>
              <w:t xml:space="preserve">Blog/Content Hub</w:t>
            </w:r>
          </w:p>
        </w:tc>
        <w:tc>
          <w:tcPr/>
          <w:p>
            <w:pPr>
              <w:pStyle w:val="Compact"/>
              <w:jc w:val="left"/>
            </w:pPr>
            <w:r>
              <w:t xml:space="preserve">None</w:t>
            </w:r>
          </w:p>
        </w:tc>
        <w:tc>
          <w:tcPr/>
          <w:p>
            <w:pPr>
              <w:pStyle w:val="Compact"/>
              <w:jc w:val="left"/>
            </w:pPr>
            <w:r>
              <w:t xml:space="preserve">Extensive — 2,000–5,000 word guides</w:t>
            </w:r>
          </w:p>
        </w:tc>
        <w:tc>
          <w:tcPr/>
          <w:p>
            <w:pPr>
              <w:pStyle w:val="Compact"/>
              <w:jc w:val="left"/>
            </w:pPr>
            <w:r>
              <w:t xml:space="preserve">Guidance Hub: 46+ articles, 61+ eBooks, 11+ podcasts</w:t>
            </w:r>
          </w:p>
        </w:tc>
        <w:tc>
          <w:tcPr/>
          <w:p>
            <w:pPr>
              <w:pStyle w:val="Compact"/>
              <w:jc w:val="left"/>
            </w:pPr>
            <w:r>
              <w:t xml:space="preserve">Resources section + FAQ page</w:t>
            </w:r>
          </w:p>
        </w:tc>
        <w:tc>
          <w:tcPr/>
          <w:p>
            <w:pPr>
              <w:pStyle w:val="Compact"/>
              <w:jc w:val="left"/>
            </w:pPr>
            <w:r>
              <w:t xml:space="preserve">Information Hub: 20+ articles</w:t>
            </w:r>
          </w:p>
        </w:tc>
        <w:tc>
          <w:tcPr/>
          <w:p>
            <w:pPr>
              <w:pStyle w:val="Compact"/>
              <w:jc w:val="left"/>
            </w:pPr>
            <w:r>
              <w:t xml:space="preserve">Food Safety Blogs: SEO-targeted articles</w:t>
            </w:r>
          </w:p>
        </w:tc>
      </w:tr>
      <w:tr>
        <w:tc>
          <w:tcPr/>
          <w:p>
            <w:pPr>
              <w:pStyle w:val="Compact"/>
              <w:jc w:val="left"/>
            </w:pPr>
            <w:r>
              <w:rPr>
                <w:bCs/>
                <w:b/>
              </w:rPr>
              <w:t xml:space="preserve">Lead Magnets</w:t>
            </w:r>
          </w:p>
        </w:tc>
        <w:tc>
          <w:tcPr/>
          <w:p>
            <w:pPr>
              <w:pStyle w:val="Compact"/>
              <w:jc w:val="left"/>
            </w:pPr>
            <w:r>
              <w:t xml:space="preserve">None</w:t>
            </w:r>
          </w:p>
        </w:tc>
        <w:tc>
          <w:tcPr/>
          <w:p>
            <w:pPr>
              <w:pStyle w:val="Compact"/>
              <w:jc w:val="left"/>
            </w:pPr>
            <w:r>
              <w:t xml:space="preserve">Free initial consultation</w:t>
            </w:r>
          </w:p>
        </w:tc>
        <w:tc>
          <w:tcPr/>
          <w:p>
            <w:pPr>
              <w:pStyle w:val="Compact"/>
              <w:jc w:val="left"/>
            </w:pPr>
            <w:r>
              <w:t xml:space="preserve">Free eBooks, newsletter, callback request</w:t>
            </w:r>
          </w:p>
        </w:tc>
        <w:tc>
          <w:tcPr/>
          <w:p>
            <w:pPr>
              <w:pStyle w:val="Compact"/>
              <w:jc w:val="left"/>
            </w:pPr>
            <w:r>
              <w:t xml:space="preserve">SME programme, software demo</w:t>
            </w:r>
          </w:p>
        </w:tc>
        <w:tc>
          <w:tcPr/>
          <w:p>
            <w:pPr>
              <w:pStyle w:val="Compact"/>
              <w:jc w:val="left"/>
            </w:pPr>
            <w:r>
              <w:t xml:space="preserve">Free downloadable PDFs, newsletter</w:t>
            </w:r>
          </w:p>
        </w:tc>
        <w:tc>
          <w:tcPr/>
          <w:p>
            <w:pPr>
              <w:pStyle w:val="Compact"/>
              <w:jc w:val="left"/>
            </w:pPr>
            <w:r>
              <w:t xml:space="preserve">Free R638 PDF, free COA guide</w:t>
            </w:r>
          </w:p>
        </w:tc>
      </w:tr>
      <w:tr>
        <w:tc>
          <w:tcPr/>
          <w:p>
            <w:pPr>
              <w:pStyle w:val="Compact"/>
              <w:jc w:val="left"/>
            </w:pPr>
            <w:r>
              <w:rPr>
                <w:bCs/>
                <w:b/>
              </w:rPr>
              <w:t xml:space="preserve">FAQ / Rich Content on Service Pages</w:t>
            </w:r>
          </w:p>
        </w:tc>
        <w:tc>
          <w:tcPr/>
          <w:p>
            <w:pPr>
              <w:pStyle w:val="Compact"/>
              <w:jc w:val="left"/>
            </w:pPr>
            <w:r>
              <w:t xml:space="preserve">None</w:t>
            </w:r>
          </w:p>
        </w:tc>
        <w:tc>
          <w:tcPr/>
          <w:p>
            <w:pPr>
              <w:pStyle w:val="Compact"/>
              <w:jc w:val="left"/>
            </w:pPr>
            <w:r>
              <w:t xml:space="preserve">FAQ sections on every service page</w:t>
            </w:r>
          </w:p>
        </w:tc>
        <w:tc>
          <w:tcPr/>
          <w:p>
            <w:pPr>
              <w:pStyle w:val="Compact"/>
              <w:jc w:val="left"/>
            </w:pPr>
            <w:r>
              <w:t xml:space="preserve">Extensive guidance content</w:t>
            </w:r>
          </w:p>
        </w:tc>
        <w:tc>
          <w:tcPr/>
          <w:p>
            <w:pPr>
              <w:pStyle w:val="Compact"/>
              <w:jc w:val="left"/>
            </w:pPr>
            <w:r>
              <w:t xml:space="preserve">Dedicated FAQ page</w:t>
            </w:r>
          </w:p>
        </w:tc>
        <w:tc>
          <w:tcPr/>
          <w:p>
            <w:pPr>
              <w:pStyle w:val="Compact"/>
              <w:jc w:val="left"/>
            </w:pPr>
            <w:r>
              <w:t xml:space="preserve">Resource downloads with articles</w:t>
            </w:r>
          </w:p>
        </w:tc>
        <w:tc>
          <w:tcPr/>
          <w:p>
            <w:pPr>
              <w:pStyle w:val="Compact"/>
              <w:jc w:val="left"/>
            </w:pPr>
            <w:r>
              <w:t xml:space="preserve">Question-answer format in blog posts</w:t>
            </w:r>
          </w:p>
        </w:tc>
      </w:tr>
      <w:tr>
        <w:tc>
          <w:tcPr/>
          <w:p>
            <w:pPr>
              <w:pStyle w:val="Compact"/>
              <w:jc w:val="left"/>
            </w:pPr>
            <w:r>
              <w:rPr>
                <w:bCs/>
                <w:b/>
              </w:rPr>
              <w:t xml:space="preserve">Schema Markup</w:t>
            </w:r>
          </w:p>
        </w:tc>
        <w:tc>
          <w:tcPr/>
          <w:p>
            <w:pPr>
              <w:pStyle w:val="Compact"/>
              <w:jc w:val="left"/>
            </w:pPr>
            <w:r>
              <w:t xml:space="preserve">None evident</w:t>
            </w:r>
          </w:p>
        </w:tc>
        <w:tc>
          <w:tcPr/>
          <w:p>
            <w:pPr>
              <w:pStyle w:val="Compact"/>
              <w:jc w:val="left"/>
            </w:pPr>
            <w:r>
              <w:t xml:space="preserve">Likely implemented (rich snippets visible)</w:t>
            </w:r>
          </w:p>
        </w:tc>
        <w:tc>
          <w:tcPr/>
          <w:p>
            <w:pPr>
              <w:pStyle w:val="Compact"/>
              <w:jc w:val="left"/>
            </w:pPr>
            <w:r>
              <w:t xml:space="preserve">Structured data for courses and events</w:t>
            </w:r>
          </w:p>
        </w:tc>
        <w:tc>
          <w:tcPr/>
          <w:p>
            <w:pPr>
              <w:pStyle w:val="Compact"/>
              <w:jc w:val="left"/>
            </w:pPr>
            <w:r>
              <w:t xml:space="preserve">Basic markup probable</w:t>
            </w:r>
          </w:p>
        </w:tc>
        <w:tc>
          <w:tcPr/>
          <w:p>
            <w:pPr>
              <w:pStyle w:val="Compact"/>
              <w:jc w:val="left"/>
            </w:pPr>
            <w:r>
              <w:t xml:space="preserve">Unknown</w:t>
            </w:r>
          </w:p>
        </w:tc>
        <w:tc>
          <w:tcPr/>
          <w:p>
            <w:pPr>
              <w:pStyle w:val="Compact"/>
              <w:jc w:val="left"/>
            </w:pPr>
            <w:r>
              <w:t xml:space="preserve">Limited</w:t>
            </w:r>
          </w:p>
        </w:tc>
      </w:tr>
      <w:tr>
        <w:tc>
          <w:tcPr/>
          <w:p>
            <w:pPr>
              <w:pStyle w:val="Compact"/>
              <w:jc w:val="left"/>
            </w:pPr>
            <w:r>
              <w:rPr>
                <w:bCs/>
                <w:b/>
              </w:rPr>
              <w:t xml:space="preserve">Local SEO (City Pages)</w:t>
            </w:r>
          </w:p>
        </w:tc>
        <w:tc>
          <w:tcPr/>
          <w:p>
            <w:pPr>
              <w:pStyle w:val="Compact"/>
              <w:jc w:val="left"/>
            </w:pPr>
            <w:r>
              <w:t xml:space="preserve">None — single Pretoria address</w:t>
            </w:r>
          </w:p>
        </w:tc>
        <w:tc>
          <w:tcPr/>
          <w:p>
            <w:pPr>
              <w:pStyle w:val="Compact"/>
              <w:jc w:val="left"/>
            </w:pPr>
            <w:r>
              <w:t xml:space="preserve">Pages for Gqeberha, Johannesburg, Pretoria, Cape Town</w:t>
            </w:r>
          </w:p>
        </w:tc>
        <w:tc>
          <w:tcPr/>
          <w:p>
            <w:pPr>
              <w:pStyle w:val="Compact"/>
              <w:jc w:val="left"/>
            </w:pPr>
            <w:r>
              <w:t xml:space="preserve">National franchise coverage</w:t>
            </w:r>
          </w:p>
        </w:tc>
        <w:tc>
          <w:tcPr/>
          <w:p>
            <w:pPr>
              <w:pStyle w:val="Compact"/>
              <w:jc w:val="left"/>
            </w:pPr>
            <w:r>
              <w:t xml:space="preserve">All major SA cities + SADC</w:t>
            </w:r>
          </w:p>
        </w:tc>
        <w:tc>
          <w:tcPr/>
          <w:p>
            <w:pPr>
              <w:pStyle w:val="Compact"/>
              <w:jc w:val="left"/>
            </w:pPr>
            <w:r>
              <w:t xml:space="preserve">Western Cape focused</w:t>
            </w:r>
          </w:p>
        </w:tc>
        <w:tc>
          <w:tcPr/>
          <w:p>
            <w:pPr>
              <w:pStyle w:val="Compact"/>
              <w:jc w:val="left"/>
            </w:pPr>
            <w:r>
              <w:t xml:space="preserve">National online delivery</w:t>
            </w:r>
          </w:p>
        </w:tc>
      </w:tr>
      <w:tr>
        <w:tc>
          <w:tcPr/>
          <w:p>
            <w:pPr>
              <w:pStyle w:val="Compact"/>
              <w:jc w:val="left"/>
            </w:pPr>
            <w:r>
              <w:rPr>
                <w:bCs/>
                <w:b/>
              </w:rPr>
              <w:t xml:space="preserve">Chat/Real-Time Contact</w:t>
            </w:r>
          </w:p>
        </w:tc>
        <w:tc>
          <w:tcPr/>
          <w:p>
            <w:pPr>
              <w:pStyle w:val="Compact"/>
              <w:jc w:val="left"/>
            </w:pPr>
            <w:r>
              <w:t xml:space="preserve">None on consulting site</w:t>
            </w:r>
          </w:p>
        </w:tc>
        <w:tc>
          <w:tcPr/>
          <w:p>
            <w:pPr>
              <w:pStyle w:val="Compact"/>
              <w:jc w:val="left"/>
            </w:pPr>
            <w:r>
              <w:t xml:space="preserve">WhatsApp + phone on multiple pages</w:t>
            </w:r>
          </w:p>
        </w:tc>
        <w:tc>
          <w:tcPr/>
          <w:p>
            <w:pPr>
              <w:pStyle w:val="Compact"/>
              <w:jc w:val="left"/>
            </w:pPr>
            <w:r>
              <w:t xml:space="preserve">Chat widget + WhatsApp on every page</w:t>
            </w:r>
          </w:p>
        </w:tc>
        <w:tc>
          <w:tcPr/>
          <w:p>
            <w:pPr>
              <w:pStyle w:val="Compact"/>
              <w:jc w:val="left"/>
            </w:pPr>
            <w:r>
              <w:t xml:space="preserve">Prominent click-to-WhatsApp</w:t>
            </w:r>
          </w:p>
        </w:tc>
        <w:tc>
          <w:tcPr/>
          <w:p>
            <w:pPr>
              <w:pStyle w:val="Compact"/>
              <w:jc w:val="left"/>
            </w:pPr>
            <w:r>
              <w:t xml:space="preserve">Phone + email</w:t>
            </w:r>
          </w:p>
        </w:tc>
        <w:tc>
          <w:tcPr/>
          <w:p>
            <w:pPr>
              <w:pStyle w:val="Compact"/>
              <w:jc w:val="left"/>
            </w:pPr>
            <w:r>
              <w:t xml:space="preserve">Contact form only</w:t>
            </w:r>
          </w:p>
        </w:tc>
      </w:tr>
      <w:tr>
        <w:tc>
          <w:tcPr/>
          <w:p>
            <w:pPr>
              <w:pStyle w:val="Compact"/>
              <w:jc w:val="left"/>
            </w:pPr>
            <w:r>
              <w:rPr>
                <w:bCs/>
                <w:b/>
              </w:rPr>
              <w:t xml:space="preserve">Social Proof on Training</w:t>
            </w:r>
          </w:p>
        </w:tc>
        <w:tc>
          <w:tcPr/>
          <w:p>
            <w:pPr>
              <w:pStyle w:val="Compact"/>
              <w:jc w:val="left"/>
            </w:pPr>
            <w:r>
              <w:t xml:space="preserve">Unverified testimonials, no reviews</w:t>
            </w:r>
          </w:p>
        </w:tc>
        <w:tc>
          <w:tcPr/>
          <w:p>
            <w:pPr>
              <w:pStyle w:val="Compact"/>
              <w:jc w:val="left"/>
            </w:pPr>
            <w:r>
              <w:t xml:space="preserve">Client logos, case studies, graduate counts</w:t>
            </w:r>
          </w:p>
        </w:tc>
        <w:tc>
          <w:tcPr/>
          <w:p>
            <w:pPr>
              <w:pStyle w:val="Compact"/>
              <w:jc w:val="left"/>
            </w:pPr>
            <w:r>
              <w:t xml:space="preserve">Graduate counts, client testimonials, webinar attendance</w:t>
            </w:r>
          </w:p>
        </w:tc>
        <w:tc>
          <w:tcPr/>
          <w:p>
            <w:pPr>
              <w:pStyle w:val="Compact"/>
              <w:jc w:val="left"/>
            </w:pPr>
            <w:r>
              <w:t xml:space="preserve">Client outcomes, programme testimonials</w:t>
            </w:r>
          </w:p>
        </w:tc>
        <w:tc>
          <w:tcPr/>
          <w:p>
            <w:pPr>
              <w:pStyle w:val="Compact"/>
              <w:jc w:val="left"/>
            </w:pPr>
            <w:r>
              <w:t xml:space="preserve">Testimonials, bulk registration data</w:t>
            </w:r>
          </w:p>
        </w:tc>
        <w:tc>
          <w:tcPr/>
          <w:p>
            <w:pPr>
              <w:pStyle w:val="Compact"/>
              <w:jc w:val="left"/>
            </w:pPr>
            <w:r>
              <w:t xml:space="preserve">Student success stories</w:t>
            </w:r>
          </w:p>
        </w:tc>
      </w:tr>
    </w:tbl>
    <w:p>
      <w:pPr>
        <w:pStyle w:val="BodyText"/>
      </w:pPr>
      <w:r>
        <w:t xml:space="preserve">This comparison reveals that RFC trails every assessed competitor across the content and lead generation dimensions that increasingly determine B2B purchasing decisions in the South African market. Only in the area of SAATCA accreditation — which RFC prominently displays — does the company maintain parity with the accredited segment of the field. The most alarming gap is the complete absence of indexable content on rfcsa.co.za: while competitors maintain active publishing calendars that continuously expand their keyword footprint and provide material for social media distribution, RFC’s consulting site offers search engines virtually nothing beyond its six primary pages to index or rank.</w:t>
      </w:r>
    </w:p>
    <w:p>
      <w:pPr>
        <w:pStyle w:val="BodyText"/>
      </w:pPr>
      <w:r>
        <w:t xml:space="preserve">The course catalog gap is equally consequential. ASC’s 65+ courses create 65+ opportunities for targeted landing pages, each capable of ranking for specific long-tail keywords like</w:t>
      </w:r>
      <w:r>
        <w:t xml:space="preserve"> </w:t>
      </w:r>
      <w:r>
        <w:t xml:space="preserve">“</w:t>
      </w:r>
      <w:r>
        <w:t xml:space="preserve">BRCGS training South Africa</w:t>
      </w:r>
      <w:r>
        <w:t xml:space="preserve">”</w:t>
      </w:r>
      <w:r>
        <w:t xml:space="preserve"> </w:t>
      </w:r>
      <w:r>
        <w:t xml:space="preserve">or</w:t>
      </w:r>
      <w:r>
        <w:t xml:space="preserve"> </w:t>
      </w:r>
      <w:r>
        <w:t xml:space="preserve">“</w:t>
      </w:r>
      <w:r>
        <w:t xml:space="preserve">food safety culture course online</w:t>
      </w:r>
      <w:r>
        <w:t xml:space="preserve">”</w:t>
      </w:r>
      <w:r>
        <w:t xml:space="preserve"> </w:t>
      </w:r>
      <w:fldSimple w:instr="NOTEREF _Ref_Footnote_9 \h \f">
        <w:r>
          <w:rPr>
            <w:vertAlign w:val="superscript"/>
          </w:rPr>
          <w:t>9</w:t>
        </w:r>
      </w:fldSimple>
      <w:r>
        <w:t xml:space="preserve">. RFC’s three courses, even if perfectly optimised, can capture only a fraction of this search real estate. The combination of thin content and narrow course variety means that RFC is effectively invisible to the majority of food safety professionals who research training options through organic search — a channel that competitor analysis indicates drives the highest-intent traffic in this sector. The subsequent chapter examines each competitor’s strategy in detail, identifying the specific content clusters and keyword positions that RFC must challenge to reclaim market visibility.</w:t>
      </w:r>
      <w:r>
        <w:t xml:space="preserve"> </w:t>
      </w:r>
      <w:r>
        <w:t xml:space="preserve">-e</w:t>
      </w:r>
    </w:p>
    <w:bookmarkEnd w:id="43"/>
    <w:bookmarkEnd w:id="44"/>
    <w:bookmarkEnd w:id="45"/>
    <w:bookmarkStart w:id="68" w:name="competitive-landscape-analysis"/>
    <w:p>
      <w:pPr>
        <w:pStyle w:val="Heading2"/>
      </w:pPr>
      <w:r>
        <w:t xml:space="preserve">2. Competitive Landscape Analysis</w:t>
      </w:r>
    </w:p>
    <w:p>
      <w:pPr>
        <w:pStyle w:val="FirstParagraph"/>
      </w:pPr>
      <w:r>
        <w:t xml:space="preserve">RFC operates in a moderately competitive but fragmented market for food safety consulting and training in South Africa. Thirteen significant competitors were identified across three tiers: four full-service direct competitors that mirror RFC’s consulting-plus-training model, four training-focused specialists that compete primarily for academy revenue, and five international certification bodies that exert pressure at the enterprise end of the market. The most important strategic insight from this analysis is that the competitive battlefield has shifted from credentials — where most SAATCA-registered providers are broadly equivalent — to content marketing, course catalog breadth, and digital lead generation. ASC Food Safety and Entecom have established commanding leads in these areas that RFC is currently not contesting. The sections below map each competitor’s positioning, catalogue strength, pricing strategy, and content engine so that RFC can identify precisely where to attack, where to defend, and where to differentiate.</w:t>
      </w:r>
    </w:p>
    <w:p>
      <w:r>
        <w:pict>
          <v:rect style="width:0;height:1.5pt" o:hralign="center" o:hrstd="t" o:hr="t"/>
        </w:pict>
      </w:r>
    </w:p>
    <w:bookmarkStart w:id="50" w:name="tier-1-direct-competitors"/>
    <w:p>
      <w:pPr>
        <w:pStyle w:val="Heading3"/>
      </w:pPr>
      <w:r>
        <w:t xml:space="preserve">2.1 Tier 1: Direct Competitors</w:t>
      </w:r>
    </w:p>
    <w:p>
      <w:pPr>
        <w:pStyle w:val="FirstParagraph"/>
      </w:pPr>
      <w:r>
        <w:t xml:space="preserve">Direct competitors are organisations offering both food safety consulting and accredited training in South Africa, operating under SAATCA or equivalent accreditation, and targeting the same mid-market manufacturing and processing clients that RFC serves.</w:t>
      </w:r>
    </w:p>
    <w:bookmarkStart w:id="46" w:name="asc-food-safety-the-two-site-juggernaut"/>
    <w:p>
      <w:pPr>
        <w:pStyle w:val="Heading4"/>
      </w:pPr>
      <w:r>
        <w:t xml:space="preserve">2.1.1 ASC Food Safety: The Two-Site Juggernaut</w:t>
      </w:r>
    </w:p>
    <w:p>
      <w:pPr>
        <w:pStyle w:val="FirstParagraph"/>
      </w:pPr>
      <w:r>
        <w:t xml:space="preserve">ASC Food Safety Consultants (ascfoodsafety.com) is RFC’s most formidable competitor across virtually every metric that matters for digital visibility and training revenue. Headed by Mthokozisi Nkosi — one of only three SAATCA Registered R638:2018 Lead Implementers in South Africa — ASC has built a content moat unmatched by any other domestic competitor</w:t>
      </w:r>
      <w:r>
        <w:t xml:space="preserve"> </w:t>
      </w:r>
      <w:r>
        <w:rPr>
          <w:vertAlign w:val="superscript"/>
        </w:rPr>
        <w:footnoteReference w:id="43"/>
      </w:r>
      <w:r>
        <w:t xml:space="preserve">. The organisation operates a deliberate two-site strategy: ascfoodsafety.com handles consulting and SEO-driven content, while ascfoodsafetytraining.com functions as a dedicated learning management system, effectively doubling ASC’s SERP real estate for every high-value keyword</w:t>
      </w:r>
      <w:r>
        <w:t xml:space="preserve"> </w:t>
      </w:r>
      <w:fldSimple w:instr="NOTEREF _Ref_Footnote_9 \h \f">
        <w:r>
          <w:rPr>
            <w:vertAlign w:val="superscript"/>
          </w:rPr>
          <w:t>9</w:t>
        </w:r>
      </w:fldSimple>
      <w:r>
        <w:t xml:space="preserve">.</w:t>
      </w:r>
    </w:p>
    <w:p>
      <w:pPr>
        <w:pStyle w:val="BodyText"/>
      </w:pPr>
      <w:r>
        <w:t xml:space="preserve">ASC offers 65-plus courses across eight categories and five delivery modes — online self-paced, virtual classroom, physical classroom, enterprise on-site, and blended</w:t>
      </w:r>
      <w:r>
        <w:t xml:space="preserve"> </w:t>
      </w:r>
      <w:fldSimple w:instr="NOTEREF _Ref_Footnote_9 \h \f">
        <w:r>
          <w:rPr>
            <w:vertAlign w:val="superscript"/>
          </w:rPr>
          <w:t>9</w:t>
        </w:r>
      </w:fldSimple>
      <w:r>
        <w:t xml:space="preserve">. Its R638 Person-in-Charge course, the market’s highest-volume training product, is priced at R879, making it the most aggressively priced SAATCA-accredited online offering and significantly undercutting RFC’s R1,600 price point</w:t>
      </w:r>
      <w:r>
        <w:t xml:space="preserve"> </w:t>
      </w:r>
      <w:fldSimple w:instr="NOTEREF _Ref_Footnote_43 \h \f">
        <w:r>
          <w:rPr>
            <w:vertAlign w:val="superscript"/>
          </w:rPr>
          <w:t>43</w:t>
        </w:r>
      </w:fldSimple>
      <w:r>
        <w:t xml:space="preserve">. ASC supplements this with triple accreditation — SAATCA Technical Certificate No. 065, FoodBev SETA accreditation (F01/585/ASR00067), and HPCSA recognition — enabling municipal acceptance across all 278 South African municipalities and unlocking Skills Development Levy claims for corporate clients</w:t>
      </w:r>
      <w:r>
        <w:t xml:space="preserve"> </w:t>
      </w:r>
      <w:fldSimple w:instr="NOTEREF _Ref_Footnote_43 \h \f">
        <w:r>
          <w:rPr>
            <w:vertAlign w:val="superscript"/>
          </w:rPr>
          <w:t>43</w:t>
        </w:r>
      </w:fldSimple>
      <w:r>
        <w:t xml:space="preserve">.</w:t>
      </w:r>
    </w:p>
    <w:p>
      <w:pPr>
        <w:pStyle w:val="BodyText"/>
      </w:pPr>
      <w:r>
        <w:t xml:space="preserve">Where ASC truly separates itself is content marketing. The company maintains a blog with pillar pages regularly exceeding 2,000 to 5,000 words, covering topics from FSSC 22000 V7 transition to BRCGS Issue 9 audit preparation</w:t>
      </w:r>
      <w:r>
        <w:t xml:space="preserve"> </w:t>
      </w:r>
      <w:r>
        <w:rPr>
          <w:vertAlign w:val="superscript"/>
        </w:rPr>
        <w:footnoteReference w:id="44"/>
      </w:r>
      <w:r>
        <w:t xml:space="preserve">. Each article features FAQ sections, related-article cross-linking, and embedded CTAs driving readers toward course enrolment or consulting enquiries. The organisation also produces downloadable FSMS toolkits, self-inspection checklists, and cleaning schedule templates that function as both lead magnets and productised revenue streams</w:t>
      </w:r>
      <w:r>
        <w:t xml:space="preserve"> </w:t>
      </w:r>
      <w:fldSimple w:instr="NOTEREF _Ref_Footnote_9 \h \f">
        <w:r>
          <w:rPr>
            <w:vertAlign w:val="superscript"/>
          </w:rPr>
          <w:t>9</w:t>
        </w:r>
      </w:fldSimple>
      <w:r>
        <w:t xml:space="preserve">. ASC has positioned itself as the default information source for food safety decision-makers in South Africa; any prospect researching R638 compliance, HACCP certification, or FSSC 22000 implementation is likely to encounter ASC’s content before finding RFC. Closing this content gap is not optional — it is prerequisite to competing for the same client base.</w:t>
      </w:r>
    </w:p>
    <w:bookmarkEnd w:id="46"/>
    <w:bookmarkStart w:id="47" w:name="Xc5768d4e6842ad00635d5c5a86ce4e521b74d5b"/>
    <w:p>
      <w:pPr>
        <w:pStyle w:val="Heading4"/>
      </w:pPr>
      <w:r>
        <w:t xml:space="preserve">2.1.2 Entecom: The Content Factory with a Software Moat</w:t>
      </w:r>
    </w:p>
    <w:p>
      <w:pPr>
        <w:pStyle w:val="FirstParagraph"/>
      </w:pPr>
      <w:r>
        <w:t xml:space="preserve">Entecom (entecom.co.za), operating for 19 years from its Gqeberha headquarters with a franchise network extending nationwide and into Botswana, adds two differentiated revenue streams that RFC cannot currently match: EO Food Compliance Software and the Small Supplier Compliance Programme</w:t>
      </w:r>
      <w:r>
        <w:t xml:space="preserve"> </w:t>
      </w:r>
      <w:r>
        <w:rPr>
          <w:vertAlign w:val="superscript"/>
        </w:rPr>
        <w:footnoteReference w:id="45"/>
      </w:r>
      <w:r>
        <w:t xml:space="preserve">. EO is Entecom’s proprietary SaaS compliance platform that digitises checklists, document control, supplier quality assurance, and internal auditing. Client testimonials from FSMS lead auditors describe the system as</w:t>
      </w:r>
      <w:r>
        <w:t xml:space="preserve"> </w:t>
      </w:r>
      <w:r>
        <w:t xml:space="preserve">“</w:t>
      </w:r>
      <w:r>
        <w:t xml:space="preserve">the first one that makes a lot of sense</w:t>
      </w:r>
      <w:r>
        <w:t xml:space="preserve">”</w:t>
      </w:r>
      <w:r>
        <w:t xml:space="preserve"> </w:t>
      </w:r>
      <w:r>
        <w:t xml:space="preserve">among document management tools encountered during audits</w:t>
      </w:r>
      <w:r>
        <w:t xml:space="preserve"> </w:t>
      </w:r>
      <w:fldSimple w:instr="NOTEREF _Ref_Footnote_18 \h \f">
        <w:r>
          <w:rPr>
            <w:vertAlign w:val="superscript"/>
          </w:rPr>
          <w:t>18</w:t>
        </w:r>
      </w:fldSimple>
      <w:r>
        <w:t xml:space="preserve">. EO generates recurring subscription revenue that insulates Entecom from the project-based consulting cycle. The Small Supplier Compliance Programme offers tiered packages from basic R638 compliance through GFSI Intermediate Level certification, targeting the same SME segment that RFC serves but at lower price points and with greater scalability</w:t>
      </w:r>
      <w:r>
        <w:t xml:space="preserve"> </w:t>
      </w:r>
      <w:fldSimple w:instr="NOTEREF _Ref_Footnote_45 \h \f">
        <w:r>
          <w:rPr>
            <w:vertAlign w:val="superscript"/>
          </w:rPr>
          <w:t>45</w:t>
        </w:r>
      </w:fldSimple>
      <w:r>
        <w:t xml:space="preserve">.</w:t>
      </w:r>
    </w:p>
    <w:p>
      <w:pPr>
        <w:pStyle w:val="BodyText"/>
      </w:pPr>
      <w:r>
        <w:t xml:space="preserve">Entecom’s content engine rivals ASC’s in format diversity. The Guidance Hub contains 46-plus articles, 61-plus downloadable eBooks, 11-plus podcasts, and 5-plus webinars</w:t>
      </w:r>
      <w:r>
        <w:t xml:space="preserve"> </w:t>
      </w:r>
      <w:fldSimple w:instr="NOTEREF _Ref_Footnote_17 \h \f">
        <w:r>
          <w:rPr>
            <w:vertAlign w:val="superscript"/>
          </w:rPr>
          <w:t>17</w:t>
        </w:r>
      </w:fldSimple>
      <w:r>
        <w:t xml:space="preserve">. New content is published regularly — the latest article was dated April 2026 — which signals active indexing by search engines and sustained audience engagement</w:t>
      </w:r>
      <w:r>
        <w:t xml:space="preserve"> </w:t>
      </w:r>
      <w:fldSimple w:instr="NOTEREF _Ref_Footnote_36 \h \f">
        <w:r>
          <w:rPr>
            <w:vertAlign w:val="superscript"/>
          </w:rPr>
          <w:t>36</w:t>
        </w:r>
      </w:fldSimple>
      <w:r>
        <w:t xml:space="preserve">. Lead generation tactics include free eBook downloads gated behind email capture, chat widgets on every page, callback request forms, and a course shop with full cart functionality</w:t>
      </w:r>
      <w:r>
        <w:t xml:space="preserve"> </w:t>
      </w:r>
      <w:fldSimple w:instr="NOTEREF _Ref_Footnote_37 \h \f">
        <w:r>
          <w:rPr>
            <w:vertAlign w:val="superscript"/>
          </w:rPr>
          <w:t>37</w:t>
        </w:r>
      </w:fldSimple>
      <w:r>
        <w:t xml:space="preserve">. For RFC, Entecom represents the benchmark for content volume and format diversity. The 61-plus eBooks alone constitute a library that RFC currently has no parallel to, and the podcast presence creates brand authority in a format that no other Tier 1 competitor has embraced at scale</w:t>
      </w:r>
      <w:r>
        <w:t xml:space="preserve"> </w:t>
      </w:r>
      <w:fldSimple w:instr="NOTEREF _Ref_Footnote_36 \h \f">
        <w:r>
          <w:rPr>
            <w:vertAlign w:val="superscript"/>
          </w:rPr>
          <w:t>36</w:t>
        </w:r>
      </w:fldSimple>
      <w:r>
        <w:t xml:space="preserve">.</w:t>
      </w:r>
    </w:p>
    <w:bookmarkEnd w:id="47"/>
    <w:bookmarkStart w:id="48" w:name="X12b6333b74c57cf3a166617a9db5fd40743bcc4"/>
    <w:p>
      <w:pPr>
        <w:pStyle w:val="Heading4"/>
      </w:pPr>
      <w:r>
        <w:t xml:space="preserve">2.1.3 Shilux: The Cape Town Challenger with Digital Tools</w:t>
      </w:r>
    </w:p>
    <w:p>
      <w:pPr>
        <w:pStyle w:val="FirstParagraph"/>
      </w:pPr>
      <w:r>
        <w:t xml:space="preserve">Shilux (shilux.co.za), headquartered in Century City, Cape Town, presents a differentiated value proposition built around QMSure — a paperless quality management system competing directly with Entecom’s EO platform — and an SME Supplier Compliance Support Programme with WhatsApp integration</w:t>
      </w:r>
      <w:r>
        <w:t xml:space="preserve"> </w:t>
      </w:r>
      <w:fldSimple w:instr="NOTEREF _Ref_Footnote_23 \h \f">
        <w:r>
          <w:rPr>
            <w:vertAlign w:val="superscript"/>
          </w:rPr>
          <w:t>23</w:t>
        </w:r>
      </w:fldSimple>
      <w:r>
        <w:t xml:space="preserve">. The WhatsApp click-to-functionality recognises the communication preferences of South African business owners and provides step-by-step guided compliance for small suppliers</w:t>
      </w:r>
      <w:r>
        <w:t xml:space="preserve"> </w:t>
      </w:r>
      <w:r>
        <w:rPr>
          <w:vertAlign w:val="superscript"/>
        </w:rPr>
        <w:footnoteReference w:id="46"/>
      </w:r>
      <w:r>
        <w:t xml:space="preserve">. Shilux’s content strategy is comparatively modest — a resources section, FAQ page, and dedicated landing pages — and the organisation does not appear to invest heavily in long-form SEO content, which creates a potential opening for RFC in the organic search channel</w:t>
      </w:r>
      <w:r>
        <w:t xml:space="preserve"> </w:t>
      </w:r>
      <w:fldSimple w:instr="NOTEREF _Ref_Footnote_23 \h \f">
        <w:r>
          <w:rPr>
            <w:vertAlign w:val="superscript"/>
          </w:rPr>
          <w:t>23</w:t>
        </w:r>
      </w:fldSimple>
      <w:r>
        <w:t xml:space="preserve">. However, its standards coverage is broad, spanning BRCGS Food Safety Issue 9, GLOBALG.A.P. IFA Version 6, IFS Food Version 8, and ISO/IEC 17025:2017, positioning it as a credible alternative for clients with multi-standard certification needs</w:t>
      </w:r>
      <w:r>
        <w:t xml:space="preserve"> </w:t>
      </w:r>
      <w:r>
        <w:rPr>
          <w:vertAlign w:val="superscript"/>
        </w:rPr>
        <w:footnoteReference w:id="47"/>
      </w:r>
      <w:r>
        <w:t xml:space="preserve">.</w:t>
      </w:r>
    </w:p>
    <w:bookmarkEnd w:id="48"/>
    <w:bookmarkStart w:id="49" w:name="X18543fb00d84e16a10a797b85f93b3b2855ebca"/>
    <w:p>
      <w:pPr>
        <w:pStyle w:val="Heading4"/>
      </w:pPr>
      <w:r>
        <w:t xml:space="preserve">2.1.4 Your Food Safety Guide / Figuro: Productised Consulting for Food Founders</w:t>
      </w:r>
    </w:p>
    <w:p>
      <w:pPr>
        <w:pStyle w:val="FirstParagraph"/>
      </w:pPr>
      <w:r>
        <w:t xml:space="preserve">Your Food Safety Guide (yourfoodsafetyguide.co.za), the public-facing brand of Bennii Van Rooy Consulting (BVRC), represents a fundamentally different competitive threat. Rather than competing on consulting hours or training days, Figuro sells self-service digital tools that enable food founders to build their own audit-ready food safety systems without ongoing consultant engagement</w:t>
      </w:r>
      <w:r>
        <w:t xml:space="preserve"> </w:t>
      </w:r>
      <w:fldSimple w:instr="NOTEREF _Ref_Footnote_24 \h \f">
        <w:r>
          <w:rPr>
            <w:vertAlign w:val="superscript"/>
          </w:rPr>
          <w:t>24</w:t>
        </w:r>
      </w:fldSimple>
      <w:r>
        <w:t xml:space="preserve">. The product suite includes Figuro HACCP (a guided HACCP plan builder), Figuro PRP (prerequisite programme documentation), and Figuro Founder (food safety culture training), all sold as one-time purchases</w:t>
      </w:r>
      <w:r>
        <w:t xml:space="preserve"> </w:t>
      </w:r>
      <w:r>
        <w:rPr>
          <w:vertAlign w:val="superscript"/>
        </w:rPr>
        <w:footnoteReference w:id="48"/>
      </w:r>
      <w:r>
        <w:t xml:space="preserve">. Figuro-Learn adds online training courses aligned with SANS 10330 and SANS 10049, competing directly with RFC’s academy offerings</w:t>
      </w:r>
      <w:r>
        <w:t xml:space="preserve"> </w:t>
      </w:r>
      <w:fldSimple w:instr="NOTEREF _Ref_Footnote_24 \h \f">
        <w:r>
          <w:rPr>
            <w:vertAlign w:val="superscript"/>
          </w:rPr>
          <w:t>24</w:t>
        </w:r>
      </w:fldSimple>
      <w:r>
        <w:t xml:space="preserve">.</w:t>
      </w:r>
    </w:p>
    <w:p>
      <w:pPr>
        <w:pStyle w:val="BodyText"/>
      </w:pPr>
      <w:r>
        <w:t xml:space="preserve">The content strategy is tightly aligned with the product funnel. Blog articles are written in plain language — deliberately anti-jargon — targeting South African food founders with topics such as HACCP plan templates and food safety certification requirements for small businesses</w:t>
      </w:r>
      <w:r>
        <w:t xml:space="preserve"> </w:t>
      </w:r>
      <w:fldSimple w:instr="NOTEREF _Ref_Footnote_48 \h \f">
        <w:r>
          <w:rPr>
            <w:vertAlign w:val="superscript"/>
          </w:rPr>
          <w:t>48</w:t>
        </w:r>
      </w:fldSimple>
      <w:r>
        <w:t xml:space="preserve">. A free newsletter captures email addresses, and a</w:t>
      </w:r>
      <w:r>
        <w:t xml:space="preserve"> </w:t>
      </w:r>
      <w:r>
        <w:t xml:space="preserve">“</w:t>
      </w:r>
      <w:r>
        <w:t xml:space="preserve">Find Your Starting Point</w:t>
      </w:r>
      <w:r>
        <w:t xml:space="preserve">”</w:t>
      </w:r>
      <w:r>
        <w:t xml:space="preserve"> </w:t>
      </w:r>
      <w:r>
        <w:t xml:space="preserve">quiz directs prospects toward the appropriate Figuro product</w:t>
      </w:r>
      <w:r>
        <w:t xml:space="preserve"> </w:t>
      </w:r>
      <w:fldSimple w:instr="NOTEREF _Ref_Footnote_24 \h \f">
        <w:r>
          <w:rPr>
            <w:vertAlign w:val="superscript"/>
          </w:rPr>
          <w:t>24</w:t>
        </w:r>
      </w:fldSimple>
      <w:r>
        <w:t xml:space="preserve">. BVRC has supported over 300 audits across 25 years and has built a brand that resonates specifically with small food businesses and startups — a segment RFC cannot afford to lose to digital alternatives that transfer knowledge rather than retaining dependency</w:t>
      </w:r>
      <w:r>
        <w:t xml:space="preserve"> </w:t>
      </w:r>
      <w:r>
        <w:rPr>
          <w:vertAlign w:val="superscript"/>
        </w:rPr>
        <w:footnoteReference w:id="49"/>
      </w:r>
      <w:r>
        <w:t xml:space="preserve">.</w:t>
      </w:r>
    </w:p>
    <w:p>
      <w:r>
        <w:pict>
          <v:rect style="width:0;height:1.5pt" o:hralign="center" o:hrstd="t" o:hr="t"/>
        </w:pict>
      </w:r>
    </w:p>
    <w:bookmarkEnd w:id="49"/>
    <w:bookmarkEnd w:id="50"/>
    <w:bookmarkStart w:id="55" w:name="tier-2-training-focused-competitors"/>
    <w:p>
      <w:pPr>
        <w:pStyle w:val="Heading3"/>
      </w:pPr>
      <w:r>
        <w:t xml:space="preserve">2.2 Tier 2: Training-Focused Competitors</w:t>
      </w:r>
    </w:p>
    <w:p>
      <w:pPr>
        <w:pStyle w:val="FirstParagraph"/>
      </w:pPr>
      <w:r>
        <w:t xml:space="preserve">Tier 2 competitors derive primary revenue from training delivery, often through a single platform or modality, with consulting offered as a secondary or non-existent service. They pose less threat to RFC’s consulting revenue but compete directly for the same training enrolments that RFC Academy targets.</w:t>
      </w:r>
    </w:p>
    <w:bookmarkStart w:id="51" w:name="progress-excellence-the-price-disruptor"/>
    <w:p>
      <w:pPr>
        <w:pStyle w:val="Heading4"/>
      </w:pPr>
      <w:r>
        <w:t xml:space="preserve">2.2.1 Progress Excellence: The Price Disruptor</w:t>
      </w:r>
    </w:p>
    <w:p>
      <w:pPr>
        <w:pStyle w:val="FirstParagraph"/>
      </w:pPr>
      <w:r>
        <w:t xml:space="preserve">Progress Excellence (progress-excellence.co.za) operates from the Western Cape and has positioned itself as the lowest-cost provider in the online food safety training market. Its basic food safety course at R399 — the cheapest online offering identified, though not SAATCA-accredited at this tier — captures price-sensitive learners who may not understand the distinction between accredited and non-accredited credentials</w:t>
      </w:r>
      <w:r>
        <w:t xml:space="preserve"> </w:t>
      </w:r>
      <w:fldSimple w:instr="NOTEREF _Ref_Footnote_40 \h \f">
        <w:r>
          <w:rPr>
            <w:vertAlign w:val="superscript"/>
          </w:rPr>
          <w:t>40</w:t>
        </w:r>
      </w:fldSimple>
      <w:r>
        <w:t xml:space="preserve"> </w:t>
      </w:r>
      <w:r>
        <w:rPr>
          <w:vertAlign w:val="superscript"/>
        </w:rPr>
        <w:footnoteReference w:id="50"/>
      </w:r>
      <w:r>
        <w:t xml:space="preserve">. The organisation maintains an</w:t>
      </w:r>
      <w:r>
        <w:t xml:space="preserve"> </w:t>
      </w:r>
      <w:r>
        <w:t xml:space="preserve">“</w:t>
      </w:r>
      <w:r>
        <w:t xml:space="preserve">Information Hub</w:t>
      </w:r>
      <w:r>
        <w:t xml:space="preserve">”</w:t>
      </w:r>
      <w:r>
        <w:t xml:space="preserve"> </w:t>
      </w:r>
      <w:r>
        <w:t xml:space="preserve">and</w:t>
      </w:r>
      <w:r>
        <w:t xml:space="preserve"> </w:t>
      </w:r>
      <w:r>
        <w:t xml:space="preserve">“</w:t>
      </w:r>
      <w:r>
        <w:t xml:space="preserve">Food Bites Blog</w:t>
      </w:r>
      <w:r>
        <w:t xml:space="preserve">”</w:t>
      </w:r>
      <w:r>
        <w:t xml:space="preserve"> </w:t>
      </w:r>
      <w:r>
        <w:t xml:space="preserve">with approximately 20-plus articles covering food safety, quality, health and safety, and environmental management topics, supplemented by downloadable resources including ISO 22000 version comparisons and GFSI standard comparisons that serve as soft lead magnets</w:t>
      </w:r>
      <w:r>
        <w:t xml:space="preserve"> </w:t>
      </w:r>
      <w:fldSimple w:instr="NOTEREF _Ref_Footnote_19 \h \f">
        <w:r>
          <w:rPr>
            <w:vertAlign w:val="superscript"/>
          </w:rPr>
          <w:t>19</w:t>
        </w:r>
      </w:fldSimple>
      <w:r>
        <w:t xml:space="preserve">. The strategic risk for RFC is not that Progress Excellence will steal high-value consulting clients — its positioning is too commoditised — but that it anchors price expectations at the low end of the market, creating an objection that RFC’s sales process must be equipped to overcome.</w:t>
      </w:r>
    </w:p>
    <w:bookmarkEnd w:id="51"/>
    <w:bookmarkStart w:id="52" w:name="X491f8e7b55eea4e8a44f6a1b2aef249b4510c75"/>
    <w:p>
      <w:pPr>
        <w:pStyle w:val="Heading4"/>
      </w:pPr>
      <w:r>
        <w:t xml:space="preserve">2.2.2 Food Safety Matters: The Entrepreneur-Focused Niche Player</w:t>
      </w:r>
    </w:p>
    <w:p>
      <w:pPr>
        <w:pStyle w:val="FirstParagraph"/>
      </w:pPr>
      <w:r>
        <w:t xml:space="preserve">Food Safety Matters (foodsafetymatters.co.za) delivers courses through the Thinkific platform and has carved out a sharply defined niche: entrepreneurs and new food businesses navigating their first COA application and R638 compliance requirements</w:t>
      </w:r>
      <w:r>
        <w:t xml:space="preserve"> </w:t>
      </w:r>
      <w:r>
        <w:rPr>
          <w:vertAlign w:val="superscript"/>
        </w:rPr>
        <w:footnoteReference w:id="51"/>
      </w:r>
      <w:r>
        <w:t xml:space="preserve">. Its R638 Person-in-Charge course is SAATCA-accredited (TCP No. 045) and priced at R1,750, slightly above RFC’s R1,600</w:t>
      </w:r>
      <w:r>
        <w:t xml:space="preserve"> </w:t>
      </w:r>
      <w:r>
        <w:rPr>
          <w:vertAlign w:val="superscript"/>
        </w:rPr>
        <w:footnoteReference w:id="52"/>
      </w:r>
      <w:r>
        <w:t xml:space="preserve">. The content strategy is laser-focused on the entrepreneur journey, with articles such as</w:t>
      </w:r>
      <w:r>
        <w:t xml:space="preserve"> </w:t>
      </w:r>
      <w:r>
        <w:t xml:space="preserve">“</w:t>
      </w:r>
      <w:r>
        <w:t xml:space="preserve">Everything You Need to Know When Starting a Food Business in South Africa</w:t>
      </w:r>
      <w:r>
        <w:t xml:space="preserve">”</w:t>
      </w:r>
      <w:r>
        <w:t xml:space="preserve"> </w:t>
      </w:r>
      <w:r>
        <w:t xml:space="preserve">and</w:t>
      </w:r>
      <w:r>
        <w:t xml:space="preserve"> </w:t>
      </w:r>
      <w:r>
        <w:t xml:space="preserve">“</w:t>
      </w:r>
      <w:r>
        <w:t xml:space="preserve">How to Get Your Certificate of Acceptability in 5 Steps</w:t>
      </w:r>
      <w:r>
        <w:t xml:space="preserve">”</w:t>
      </w:r>
      <w:r>
        <w:t xml:space="preserve"> </w:t>
      </w:r>
      <w:fldSimple w:instr="NOTEREF _Ref_Footnote_38 \h \f">
        <w:r>
          <w:rPr>
            <w:vertAlign w:val="superscript"/>
          </w:rPr>
          <w:t>38</w:t>
        </w:r>
      </w:fldSimple>
      <w:r>
        <w:t xml:space="preserve">. Two free downloadable resources — the full Regulation 638 PDF and a COA application process guide — function as lead magnets that build trust before any purchase decision</w:t>
      </w:r>
      <w:r>
        <w:t xml:space="preserve"> </w:t>
      </w:r>
      <w:fldSimple w:instr="NOTEREF _Ref_Footnote_51 \h \f">
        <w:r>
          <w:rPr>
            <w:vertAlign w:val="superscript"/>
          </w:rPr>
          <w:t>51</w:t>
        </w:r>
      </w:fldSimple>
      <w:r>
        <w:t xml:space="preserve">. Food Safety Matters is RFC’s closest competitor in terms of target audience overlap, and its Thinkific-based delivery model provides a smooth learner experience that RFC should benchmark</w:t>
      </w:r>
      <w:r>
        <w:t xml:space="preserve"> </w:t>
      </w:r>
      <w:r>
        <w:rPr>
          <w:vertAlign w:val="superscript"/>
        </w:rPr>
        <w:footnoteReference w:id="53"/>
      </w:r>
      <w:r>
        <w:t xml:space="preserve">.</w:t>
      </w:r>
    </w:p>
    <w:bookmarkEnd w:id="52"/>
    <w:bookmarkStart w:id="53" w:name="Xdfe8535f9fd0618d6b9fafa47bdf44dd4ea7d94"/>
    <w:p>
      <w:pPr>
        <w:pStyle w:val="Heading4"/>
      </w:pPr>
      <w:r>
        <w:t xml:space="preserve">2.2.3 AssureCloud: The Certification Body with Training</w:t>
      </w:r>
    </w:p>
    <w:p>
      <w:pPr>
        <w:pStyle w:val="FirstParagraph"/>
      </w:pPr>
      <w:r>
        <w:t xml:space="preserve">AssureCloud (assurecloud.co.za), the training arm of Aspirata, operates for over 20 years with JAS-ANZ and SANAS accreditation and B-BBEE Level 1 status</w:t>
      </w:r>
      <w:r>
        <w:t xml:space="preserve"> </w:t>
      </w:r>
      <w:r>
        <w:rPr>
          <w:vertAlign w:val="superscript"/>
        </w:rPr>
        <w:footnoteReference w:id="54"/>
      </w:r>
      <w:r>
        <w:t xml:space="preserve">. Unlike RFC, AssureCloud’s primary business is certification auditing — issuing ISO 22000, FSSC 22000, and HACCP certificates — with training delivered as a supporting service to build the pipeline of certification-ready clients</w:t>
      </w:r>
      <w:r>
        <w:t xml:space="preserve"> </w:t>
      </w:r>
      <w:fldSimple w:instr="NOTEREF _Ref_Footnote_41 \h \f">
        <w:r>
          <w:rPr>
            <w:vertAlign w:val="superscript"/>
          </w:rPr>
          <w:t>41</w:t>
        </w:r>
      </w:fldSimple>
      <w:r>
        <w:t xml:space="preserve">. Its 16-plus course catalogue spans specialised programmes that RFC does not currently match, including Micro for Non-Microbiologists, Food Defence and Food Fraud (VACCP/TACCP/HACCP), and Pest Control</w:t>
      </w:r>
      <w:r>
        <w:t xml:space="preserve"> </w:t>
      </w:r>
      <w:fldSimple w:instr="NOTEREF _Ref_Footnote_41 \h \f">
        <w:r>
          <w:rPr>
            <w:vertAlign w:val="superscript"/>
          </w:rPr>
          <w:t>41</w:t>
        </w:r>
      </w:fldSimple>
      <w:r>
        <w:t xml:space="preserve">. AssureCloud’s content presence is thin, creating a gap that RFC could exploit. However, its dual role as both certifier and trainer creates a conflict-of-interest barrier that RFC, as a non-certifying consultancy, can leverage: clients wanting implementation support from an organisation that will not also audit them may prefer RFC’s independence.</w:t>
      </w:r>
    </w:p>
    <w:bookmarkEnd w:id="53"/>
    <w:bookmarkStart w:id="54" w:name="Xae6112d4ec969390dffa6c485bff1db72e3cf9c"/>
    <w:p>
      <w:pPr>
        <w:pStyle w:val="Heading4"/>
      </w:pPr>
      <w:r>
        <w:t xml:space="preserve">2.2.4 Hygiene Heroes: The Community-Movement Approach</w:t>
      </w:r>
    </w:p>
    <w:p>
      <w:pPr>
        <w:pStyle w:val="FirstParagraph"/>
      </w:pPr>
      <w:r>
        <w:t xml:space="preserve">Hygiene Heroes (hygieneheroes.org.za) positions itself not as a conventional training provider but as a movement for food service businesses. Its primary asset is a comprehensive free guide —</w:t>
      </w:r>
      <w:r>
        <w:t xml:space="preserve"> </w:t>
      </w:r>
      <w:r>
        <w:t xml:space="preserve">“</w:t>
      </w:r>
      <w:r>
        <w:t xml:space="preserve">A Step-by-Step Guide to R638, HACCP, and Hygiene Best Practices</w:t>
      </w:r>
      <w:r>
        <w:t xml:space="preserve">”</w:t>
      </w:r>
      <w:r>
        <w:t xml:space="preserve"> </w:t>
      </w:r>
      <w:r>
        <w:t xml:space="preserve">— covering South African food safety law, R638 breakdown, the five food safety rules, and the seven HACCP principles</w:t>
      </w:r>
      <w:r>
        <w:t xml:space="preserve"> </w:t>
      </w:r>
      <w:fldSimple w:instr="NOTEREF _Ref_Footnote_39 \h \f">
        <w:r>
          <w:rPr>
            <w:vertAlign w:val="superscript"/>
          </w:rPr>
          <w:t>39</w:t>
        </w:r>
      </w:fldSimple>
      <w:r>
        <w:t xml:space="preserve">. This is one of the most thorough free R638 resources available in South Africa and likely captures significant organic search traffic for informational queries that RFC’s website is currently not configured to intercept. Hygiene Heroes does not appear to offer SAATCA-accredited training, which limits its threat to RFC’s high-value course revenue, but its community positioning builds brand loyalty that can translate into paid service recommendations over time.</w:t>
      </w:r>
    </w:p>
    <w:p>
      <w:r>
        <w:pict>
          <v:rect style="width:0;height:1.5pt" o:hralign="center" o:hrstd="t" o:hr="t"/>
        </w:pict>
      </w:r>
    </w:p>
    <w:bookmarkEnd w:id="54"/>
    <w:bookmarkEnd w:id="55"/>
    <w:bookmarkStart w:id="56" w:name="Xcae7cc6a753676daeffbabecac6d1aba95bff9d"/>
    <w:p>
      <w:pPr>
        <w:pStyle w:val="Heading3"/>
      </w:pPr>
      <w:r>
        <w:t xml:space="preserve">2.3 Tier 3: International Certification Bodies</w:t>
      </w:r>
    </w:p>
    <w:p>
      <w:pPr>
        <w:pStyle w:val="FirstParagraph"/>
      </w:pPr>
      <w:r>
        <w:t xml:space="preserve">Tier 3 competitors are large international organisations whose South African operations represent a small component of global food safety certification and training revenue. They do not compete aggressively for RFC’s mid-market consulting clients but set the ceiling for accreditation credibility and influence enterprise procurement decisions.</w:t>
      </w:r>
    </w:p>
    <w:p>
      <w:pPr>
        <w:pStyle w:val="BodyText"/>
      </w:pPr>
      <w:r>
        <w:t xml:space="preserve">Mérieux NutriSciences EQUIP (za-equip.mxns.com) operates for 29-plus years with 9,000-plus graduates and 250-plus company clients</w:t>
      </w:r>
      <w:r>
        <w:t xml:space="preserve"> </w:t>
      </w:r>
      <w:fldSimple w:instr="NOTEREF _Ref_Footnote_42 \h \f">
        <w:r>
          <w:rPr>
            <w:vertAlign w:val="superscript"/>
          </w:rPr>
          <w:t>42</w:t>
        </w:r>
      </w:fldSimple>
      <w:r>
        <w:t xml:space="preserve">. Its strength lies in laboratory and technical training — microbiological testing, analytical methods, and laboratory quality management — areas where RFC does not currently compete. EQUIP’s SEO presence for consulting keywords is minimal, and its catalogue does not overlap significantly with RFC’s target market of food premises managers and HACCP implementers</w:t>
      </w:r>
      <w:r>
        <w:t xml:space="preserve"> </w:t>
      </w:r>
      <w:fldSimple w:instr="NOTEREF _Ref_Footnote_42 \h \f">
        <w:r>
          <w:rPr>
            <w:vertAlign w:val="superscript"/>
          </w:rPr>
          <w:t>42</w:t>
        </w:r>
      </w:fldSimple>
      <w:r>
        <w:t xml:space="preserve">.</w:t>
      </w:r>
    </w:p>
    <w:p>
      <w:pPr>
        <w:pStyle w:val="BodyText"/>
      </w:pPr>
      <w:r>
        <w:t xml:space="preserve">SGS South Africa (sgs.com/en-za) is a GLOBALG.A.P. approved certification body and FSSC 22000 certification services provider offering CQI and IRCA-accredited lead auditor training at premium international rates targeting large organisations</w:t>
      </w:r>
      <w:r>
        <w:t xml:space="preserve"> </w:t>
      </w:r>
      <w:fldSimple w:instr="NOTEREF _Ref_Footnote_20 \h \f">
        <w:r>
          <w:rPr>
            <w:vertAlign w:val="superscript"/>
          </w:rPr>
          <w:t>20</w:t>
        </w:r>
      </w:fldSimple>
      <w:r>
        <w:t xml:space="preserve"> </w:t>
      </w:r>
      <w:r>
        <w:rPr>
          <w:vertAlign w:val="superscript"/>
        </w:rPr>
        <w:footnoteReference w:id="55"/>
      </w:r>
      <w:r>
        <w:t xml:space="preserve">. The SABS Training Academy (sabs.co.za), the training division of South Africa’s national standards body, carries unmatched institutional credibility as SAATCA-approved online provider No. 003 but maintains a limited digital presence and traditional classroom-based delivery model that creates a service gap more digitally agile providers can exploit</w:t>
      </w:r>
      <w:r>
        <w:t xml:space="preserve"> </w:t>
      </w:r>
      <w:r>
        <w:rPr>
          <w:vertAlign w:val="superscript"/>
        </w:rPr>
        <w:footnoteReference w:id="56"/>
      </w:r>
      <w:r>
        <w:t xml:space="preserve"> </w:t>
      </w:r>
      <w:r>
        <w:rPr>
          <w:vertAlign w:val="superscript"/>
        </w:rPr>
        <w:footnoteReference w:id="57"/>
      </w:r>
      <w:r>
        <w:t xml:space="preserve">. DQS Academy (dqsglobal.com/en/learn) and TÜV SÜD (tuvsud.com/en-za) both deliver FSSC 22000 auditor training at premium pricing, competing for auditor certification — a segment RFC does not currently target</w:t>
      </w:r>
      <w:r>
        <w:t xml:space="preserve"> </w:t>
      </w:r>
      <w:r>
        <w:rPr>
          <w:vertAlign w:val="superscript"/>
        </w:rPr>
        <w:footnoteReference w:id="58"/>
      </w:r>
      <w:r>
        <w:t xml:space="preserve"> </w:t>
      </w:r>
      <w:fldSimple w:instr="NOTEREF _Ref_Footnote_21 \h \f">
        <w:r>
          <w:rPr>
            <w:vertAlign w:val="superscript"/>
          </w:rPr>
          <w:t>21</w:t>
        </w:r>
      </w:fldSimple>
      <w:r>
        <w:t xml:space="preserve">. Neither invests meaningfully in R638 training, HACCP implementation consulting, or SME-focused content, leaving the mid-market segment that RFC dominates relatively uncontested by these international players.</w:t>
      </w:r>
    </w:p>
    <w:p>
      <w:pPr>
        <w:pStyle w:val="BodyText"/>
      </w:pPr>
      <w:r>
        <w:t xml:space="preserve">The collective lesson from Tier 3 is that the most competitive layer of the South African food safety market is not at the top, where international brands serve large enterprises, but at the mid-market and SME levels where RFC, ASC, Entecom, and Shilux compete for the same consulting engagements and training enrolments. RFC’s strategic priority should be to defend and expand this mid-market position rather than chase enterprise clients that international certification bodies are better resourced to serve.</w:t>
      </w:r>
    </w:p>
    <w:p>
      <w:r>
        <w:pict>
          <v:rect style="width:0;height:1.5pt" o:hralign="center" o:hrstd="t" o:hr="t"/>
        </w:pict>
      </w:r>
    </w:p>
    <w:bookmarkEnd w:id="56"/>
    <w:bookmarkStart w:id="67" w:name="pricing-and-course-catalog-comparison"/>
    <w:p>
      <w:pPr>
        <w:pStyle w:val="Heading3"/>
      </w:pPr>
      <w:r>
        <w:t xml:space="preserve">2.4 Pricing and Course Catalog Comparison</w:t>
      </w:r>
    </w:p>
    <w:bookmarkStart w:id="60" w:name="Xd4e63c2d547d30d50a845d17d0109f52f43603c"/>
    <w:p>
      <w:pPr>
        <w:pStyle w:val="Heading4"/>
      </w:pPr>
      <w:r>
        <w:t xml:space="preserve">Table 2.1: R638 Person-in-Charge Training Price Comparison</w:t>
      </w:r>
    </w:p>
    <w:tbl>
      <w:tblPr>
        <w:tblStyle w:val="Table"/>
        <w:tblW w:type="pct" w:w="5000"/>
        <w:tblLook w:firstRow="1" w:lastRow="0" w:firstColumn="0" w:lastColumn="0" w:noHBand="0" w:noVBand="0" w:val="0020"/>
      </w:tblPr>
      <w:tblGrid>
        <w:gridCol w:w="1056"/>
        <w:gridCol w:w="1372"/>
        <w:gridCol w:w="844"/>
        <w:gridCol w:w="1584"/>
        <w:gridCol w:w="1056"/>
        <w:gridCol w:w="2006"/>
      </w:tblGrid>
      <w:tr>
        <w:trPr>
          <w:tblHeader w:val="true"/>
        </w:trPr>
        <w:tc>
          <w:tcPr/>
          <w:p>
            <w:pPr>
              <w:pStyle w:val="Compact"/>
              <w:jc w:val="left"/>
            </w:pPr>
            <w:r>
              <w:t xml:space="preserve">Provider</w:t>
            </w:r>
          </w:p>
        </w:tc>
        <w:tc>
          <w:tcPr/>
          <w:p>
            <w:pPr>
              <w:pStyle w:val="Compact"/>
              <w:jc w:val="left"/>
            </w:pPr>
            <w:r>
              <w:t xml:space="preserve">Price (ZAR)</w:t>
            </w:r>
          </w:p>
        </w:tc>
        <w:tc>
          <w:tcPr/>
          <w:p>
            <w:pPr>
              <w:pStyle w:val="Compact"/>
              <w:jc w:val="left"/>
            </w:pPr>
            <w:r>
              <w:t xml:space="preserve">Format</w:t>
            </w:r>
          </w:p>
        </w:tc>
        <w:tc>
          <w:tcPr/>
          <w:p>
            <w:pPr>
              <w:pStyle w:val="Compact"/>
              <w:jc w:val="left"/>
            </w:pPr>
            <w:r>
              <w:t xml:space="preserve">Accreditation</w:t>
            </w:r>
          </w:p>
        </w:tc>
        <w:tc>
          <w:tcPr/>
          <w:p>
            <w:pPr>
              <w:pStyle w:val="Compact"/>
              <w:jc w:val="left"/>
            </w:pPr>
            <w:r>
              <w:t xml:space="preserve">Duration</w:t>
            </w:r>
          </w:p>
        </w:tc>
        <w:tc>
          <w:tcPr/>
          <w:p>
            <w:pPr>
              <w:pStyle w:val="Compact"/>
              <w:jc w:val="left"/>
            </w:pPr>
            <w:r>
              <w:t xml:space="preserve">Key Differentiator</w:t>
            </w:r>
          </w:p>
        </w:tc>
      </w:tr>
      <w:tr>
        <w:tc>
          <w:tcPr/>
          <w:p>
            <w:pPr>
              <w:pStyle w:val="Compact"/>
              <w:jc w:val="left"/>
            </w:pPr>
            <w:r>
              <w:t xml:space="preserve">Progress Excellence</w:t>
            </w:r>
          </w:p>
        </w:tc>
        <w:tc>
          <w:tcPr/>
          <w:p>
            <w:pPr>
              <w:pStyle w:val="Compact"/>
              <w:jc w:val="left"/>
            </w:pPr>
            <w:r>
              <w:t xml:space="preserve">R399</w:t>
            </w:r>
          </w:p>
        </w:tc>
        <w:tc>
          <w:tcPr/>
          <w:p>
            <w:pPr>
              <w:pStyle w:val="Compact"/>
              <w:jc w:val="left"/>
            </w:pPr>
            <w:r>
              <w:t xml:space="preserve">Online self-paced</w:t>
            </w:r>
          </w:p>
        </w:tc>
        <w:tc>
          <w:tcPr/>
          <w:p>
            <w:pPr>
              <w:pStyle w:val="Compact"/>
              <w:jc w:val="left"/>
            </w:pPr>
            <w:r>
              <w:t xml:space="preserve">Not SAATCA (basic level)</w:t>
            </w:r>
          </w:p>
        </w:tc>
        <w:tc>
          <w:tcPr/>
          <w:p>
            <w:pPr>
              <w:pStyle w:val="Compact"/>
              <w:jc w:val="left"/>
            </w:pPr>
            <w:r>
              <w:t xml:space="preserve">Not specified</w:t>
            </w:r>
          </w:p>
        </w:tc>
        <w:tc>
          <w:tcPr/>
          <w:p>
            <w:pPr>
              <w:pStyle w:val="Compact"/>
              <w:jc w:val="left"/>
            </w:pPr>
            <w:r>
              <w:t xml:space="preserve">Lowest price; entry-level positioning</w:t>
            </w:r>
            <w:r>
              <w:t xml:space="preserve"> </w:t>
            </w:r>
            <w:fldSimple w:instr="NOTEREF _Ref_Footnote_40 \h \f">
              <w:r>
                <w:rPr>
                  <w:vertAlign w:val="superscript"/>
                </w:rPr>
                <w:t>40</w:t>
              </w:r>
            </w:fldSimple>
          </w:p>
        </w:tc>
      </w:tr>
      <w:tr>
        <w:tc>
          <w:tcPr/>
          <w:p>
            <w:pPr>
              <w:pStyle w:val="Compact"/>
              <w:jc w:val="left"/>
            </w:pPr>
            <w:r>
              <w:t xml:space="preserve">ASC Food Safety</w:t>
            </w:r>
          </w:p>
        </w:tc>
        <w:tc>
          <w:tcPr/>
          <w:p>
            <w:pPr>
              <w:pStyle w:val="Compact"/>
              <w:jc w:val="left"/>
            </w:pPr>
            <w:r>
              <w:t xml:space="preserve">R879</w:t>
            </w:r>
          </w:p>
        </w:tc>
        <w:tc>
          <w:tcPr/>
          <w:p>
            <w:pPr>
              <w:pStyle w:val="Compact"/>
              <w:jc w:val="left"/>
            </w:pPr>
            <w:r>
              <w:t xml:space="preserve">Online self-paced</w:t>
            </w:r>
          </w:p>
        </w:tc>
        <w:tc>
          <w:tcPr/>
          <w:p>
            <w:pPr>
              <w:pStyle w:val="Compact"/>
              <w:jc w:val="left"/>
            </w:pPr>
            <w:r>
              <w:t xml:space="preserve">SAATCA + FoodBev SETA + HPCSA</w:t>
            </w:r>
          </w:p>
        </w:tc>
        <w:tc>
          <w:tcPr/>
          <w:p>
            <w:pPr>
              <w:pStyle w:val="Compact"/>
              <w:jc w:val="left"/>
            </w:pPr>
            <w:r>
              <w:t xml:space="preserve">17 hours, 4 modules</w:t>
            </w:r>
          </w:p>
        </w:tc>
        <w:tc>
          <w:tcPr/>
          <w:p>
            <w:pPr>
              <w:pStyle w:val="Compact"/>
              <w:jc w:val="left"/>
            </w:pPr>
            <w:r>
              <w:t xml:space="preserve">Most aggressively priced triple-accredited course</w:t>
            </w:r>
            <w:r>
              <w:t xml:space="preserve"> </w:t>
            </w:r>
            <w:fldSimple w:instr="NOTEREF _Ref_Footnote_43 \h \f">
              <w:r>
                <w:rPr>
                  <w:vertAlign w:val="superscript"/>
                </w:rPr>
                <w:t>43</w:t>
              </w:r>
            </w:fldSimple>
          </w:p>
        </w:tc>
      </w:tr>
      <w:tr>
        <w:tc>
          <w:tcPr/>
          <w:p>
            <w:pPr>
              <w:pStyle w:val="Compact"/>
              <w:jc w:val="left"/>
            </w:pPr>
            <w:r>
              <w:t xml:space="preserve">Food Safety Matters</w:t>
            </w:r>
          </w:p>
        </w:tc>
        <w:tc>
          <w:tcPr/>
          <w:p>
            <w:pPr>
              <w:pStyle w:val="Compact"/>
              <w:jc w:val="left"/>
            </w:pPr>
            <w:r>
              <w:t xml:space="preserve">R1,750</w:t>
            </w:r>
          </w:p>
        </w:tc>
        <w:tc>
          <w:tcPr/>
          <w:p>
            <w:pPr>
              <w:pStyle w:val="Compact"/>
              <w:jc w:val="left"/>
            </w:pPr>
            <w:r>
              <w:t xml:space="preserve">Online via Thinkific</w:t>
            </w:r>
          </w:p>
        </w:tc>
        <w:tc>
          <w:tcPr/>
          <w:p>
            <w:pPr>
              <w:pStyle w:val="Compact"/>
              <w:jc w:val="left"/>
            </w:pPr>
            <w:r>
              <w:t xml:space="preserve">SAATCA (TCP 045)</w:t>
            </w:r>
          </w:p>
        </w:tc>
        <w:tc>
          <w:tcPr/>
          <w:p>
            <w:pPr>
              <w:pStyle w:val="Compact"/>
              <w:jc w:val="left"/>
            </w:pPr>
            <w:r>
              <w:t xml:space="preserve">6–7 hours</w:t>
            </w:r>
          </w:p>
        </w:tc>
        <w:tc>
          <w:tcPr/>
          <w:p>
            <w:pPr>
              <w:pStyle w:val="Compact"/>
              <w:jc w:val="left"/>
            </w:pPr>
            <w:r>
              <w:t xml:space="preserve">Thinkific platform; entrepreneur-focused content</w:t>
            </w:r>
            <w:r>
              <w:t xml:space="preserve"> </w:t>
            </w:r>
            <w:fldSimple w:instr="NOTEREF _Ref_Footnote_52 \h \f">
              <w:r>
                <w:rPr>
                  <w:vertAlign w:val="superscript"/>
                </w:rPr>
                <w:t>52</w:t>
              </w:r>
            </w:fldSimple>
          </w:p>
        </w:tc>
      </w:tr>
      <w:tr>
        <w:tc>
          <w:tcPr/>
          <w:p>
            <w:pPr>
              <w:pStyle w:val="Compact"/>
              <w:jc w:val="left"/>
            </w:pPr>
            <w:r>
              <w:rPr>
                <w:bCs/>
                <w:b/>
              </w:rPr>
              <w:t xml:space="preserve">RFC</w:t>
            </w:r>
          </w:p>
        </w:tc>
        <w:tc>
          <w:tcPr/>
          <w:p>
            <w:pPr>
              <w:pStyle w:val="Compact"/>
              <w:jc w:val="left"/>
            </w:pPr>
            <w:r>
              <w:rPr>
                <w:bCs/>
                <w:b/>
              </w:rPr>
              <w:t xml:space="preserve">R1,600</w:t>
            </w:r>
          </w:p>
        </w:tc>
        <w:tc>
          <w:tcPr/>
          <w:p>
            <w:pPr>
              <w:pStyle w:val="Compact"/>
              <w:jc w:val="left"/>
            </w:pPr>
            <w:r>
              <w:rPr>
                <w:bCs/>
                <w:b/>
              </w:rPr>
              <w:t xml:space="preserve">Online</w:t>
            </w:r>
          </w:p>
        </w:tc>
        <w:tc>
          <w:tcPr/>
          <w:p>
            <w:pPr>
              <w:pStyle w:val="Compact"/>
              <w:jc w:val="left"/>
            </w:pPr>
            <w:r>
              <w:rPr>
                <w:bCs/>
                <w:b/>
              </w:rPr>
              <w:t xml:space="preserve">SAATCA</w:t>
            </w:r>
          </w:p>
        </w:tc>
        <w:tc>
          <w:tcPr/>
          <w:p>
            <w:pPr>
              <w:pStyle w:val="Compact"/>
              <w:jc w:val="left"/>
            </w:pPr>
            <w:r>
              <w:rPr>
                <w:bCs/>
                <w:b/>
              </w:rPr>
              <w:t xml:space="preserve">Not specified</w:t>
            </w:r>
          </w:p>
        </w:tc>
        <w:tc>
          <w:tcPr/>
          <w:p>
            <w:pPr>
              <w:pStyle w:val="Compact"/>
              <w:jc w:val="left"/>
            </w:pPr>
            <w:r>
              <w:rPr>
                <w:bCs/>
                <w:b/>
              </w:rPr>
              <w:t xml:space="preserve">Mid-market positioning</w:t>
            </w:r>
            <w:r>
              <w:t xml:space="preserve"> </w:t>
            </w:r>
            <w:fldSimple w:instr="NOTEREF _Ref_Footnote_3 \h \f">
              <w:r>
                <w:rPr>
                  <w:vertAlign w:val="superscript"/>
                </w:rPr>
                <w:t>3</w:t>
              </w:r>
            </w:fldSimple>
          </w:p>
        </w:tc>
      </w:tr>
      <w:tr>
        <w:tc>
          <w:tcPr/>
          <w:p>
            <w:pPr>
              <w:pStyle w:val="Compact"/>
              <w:jc w:val="left"/>
            </w:pPr>
            <w:r>
              <w:t xml:space="preserve">Nelson Mandela University</w:t>
            </w:r>
          </w:p>
        </w:tc>
        <w:tc>
          <w:tcPr/>
          <w:p>
            <w:pPr>
              <w:pStyle w:val="Compact"/>
              <w:jc w:val="left"/>
            </w:pPr>
            <w:r>
              <w:t xml:space="preserve">R2,000</w:t>
            </w:r>
          </w:p>
        </w:tc>
        <w:tc>
          <w:tcPr/>
          <w:p>
            <w:pPr>
              <w:pStyle w:val="Compact"/>
              <w:jc w:val="left"/>
            </w:pPr>
            <w:r>
              <w:t xml:space="preserve">2-day classroom</w:t>
            </w:r>
          </w:p>
        </w:tc>
        <w:tc>
          <w:tcPr/>
          <w:p>
            <w:pPr>
              <w:pStyle w:val="Compact"/>
              <w:jc w:val="left"/>
            </w:pPr>
            <w:r>
              <w:t xml:space="preserve">SETA Accredited</w:t>
            </w:r>
          </w:p>
        </w:tc>
        <w:tc>
          <w:tcPr/>
          <w:p>
            <w:pPr>
              <w:pStyle w:val="Compact"/>
              <w:jc w:val="left"/>
            </w:pPr>
            <w:r>
              <w:t xml:space="preserve">2 days</w:t>
            </w:r>
          </w:p>
        </w:tc>
        <w:tc>
          <w:tcPr/>
          <w:p>
            <w:pPr>
              <w:pStyle w:val="Compact"/>
              <w:jc w:val="left"/>
            </w:pPr>
            <w:r>
              <w:t xml:space="preserve">Academic credibility; classroom delivery</w:t>
            </w:r>
            <w:r>
              <w:t xml:space="preserve"> </w:t>
            </w:r>
            <w:r>
              <w:rPr>
                <w:vertAlign w:val="superscript"/>
              </w:rPr>
              <w:footnoteReference w:id="59"/>
            </w:r>
          </w:p>
        </w:tc>
      </w:tr>
      <w:tr>
        <w:tc>
          <w:tcPr/>
          <w:p>
            <w:pPr>
              <w:pStyle w:val="Compact"/>
              <w:jc w:val="left"/>
            </w:pPr>
            <w:r>
              <w:t xml:space="preserve">Entecom</w:t>
            </w:r>
          </w:p>
        </w:tc>
        <w:tc>
          <w:tcPr/>
          <w:p>
            <w:pPr>
              <w:pStyle w:val="Compact"/>
              <w:jc w:val="left"/>
            </w:pPr>
            <w:r>
              <w:t xml:space="preserve">R3,393 (incl VAT)</w:t>
            </w:r>
          </w:p>
        </w:tc>
        <w:tc>
          <w:tcPr/>
          <w:p>
            <w:pPr>
              <w:pStyle w:val="Compact"/>
              <w:jc w:val="left"/>
            </w:pPr>
            <w:r>
              <w:t xml:space="preserve">Online video eLearning</w:t>
            </w:r>
          </w:p>
        </w:tc>
        <w:tc>
          <w:tcPr/>
          <w:p>
            <w:pPr>
              <w:pStyle w:val="Compact"/>
              <w:jc w:val="left"/>
            </w:pPr>
            <w:r>
              <w:t xml:space="preserve">SAATCA / SETA</w:t>
            </w:r>
          </w:p>
        </w:tc>
        <w:tc>
          <w:tcPr/>
          <w:p>
            <w:pPr>
              <w:pStyle w:val="Compact"/>
              <w:jc w:val="left"/>
            </w:pPr>
            <w:r>
              <w:t xml:space="preserve">16–20 hours</w:t>
            </w:r>
          </w:p>
        </w:tc>
        <w:tc>
          <w:tcPr/>
          <w:p>
            <w:pPr>
              <w:pStyle w:val="Compact"/>
              <w:jc w:val="left"/>
            </w:pPr>
            <w:r>
              <w:t xml:space="preserve">Most comprehensive; video-based with assessor support</w:t>
            </w:r>
            <w:r>
              <w:t xml:space="preserve"> </w:t>
            </w:r>
            <w:r>
              <w:rPr>
                <w:vertAlign w:val="superscript"/>
              </w:rPr>
              <w:footnoteReference w:id="60"/>
            </w:r>
          </w:p>
        </w:tc>
      </w:tr>
    </w:tbl>
    <w:p>
      <w:pPr>
        <w:pStyle w:val="BodyText"/>
      </w:pPr>
      <w:r>
        <w:t xml:space="preserve">The pricing data reveal a bifurcated market. At the low end, Progress Excellence’s R399 basic course and ASC’s R879 triple-accredited offering compete on price accessibility, anchoring consumer expectations below R1,000 for online R638 training. At the premium end, Entecom’s R3,393 course justifies its price through 16–20 hours of video content, three modules with formative assessments, and simulated video-based workplace evaluation</w:t>
      </w:r>
      <w:r>
        <w:t xml:space="preserve"> </w:t>
      </w:r>
      <w:fldSimple w:instr="NOTEREF _Ref_Footnote_60 \h \f">
        <w:r>
          <w:rPr>
            <w:vertAlign w:val="superscript"/>
          </w:rPr>
          <w:t>60</w:t>
        </w:r>
      </w:fldSimple>
      <w:r>
        <w:t xml:space="preserve">. Nelson Mandela University’s R2,000 classroom offering occupies a distinct segment for learners preferring academic institutional credentials</w:t>
      </w:r>
      <w:r>
        <w:t xml:space="preserve"> </w:t>
      </w:r>
      <w:fldSimple w:instr="NOTEREF _Ref_Footnote_59 \h \f">
        <w:r>
          <w:rPr>
            <w:vertAlign w:val="superscript"/>
          </w:rPr>
          <w:t>59</w:t>
        </w:r>
      </w:fldSimple>
      <w:r>
        <w:t xml:space="preserve">. RFC’s R1,600 positioning sits in a contested middle zone — more expensive than ASC’s likely loss-leader pricing but cheaper than Entecom’s premium package. The mid-market positioning is defensible only if RFC can demonstrate superior value through personalised support, deeper consulting integration, local Pretoria presence, or bundled services that ASC does not offer at entry level.</w:t>
      </w:r>
    </w:p>
    <w:p>
      <w:pPr>
        <w:pStyle w:val="CaptionedFigure"/>
      </w:pPr>
      <w:r>
        <w:drawing>
          <wp:inline>
            <wp:extent cx="5334000" cy="2597171"/>
            <wp:effectExtent b="0" l="0" r="0" t="0"/>
            <wp:docPr descr="R638 Training Price Comparison" title="" id="58" name="Picture"/>
            <a:graphic>
              <a:graphicData uri="http://schemas.openxmlformats.org/drawingml/2006/picture">
                <pic:pic>
                  <pic:nvPicPr>
                    <pic:cNvPr descr="rfc_sec02_pricing_chart.png" id="59" name="Picture"/>
                    <pic:cNvPicPr>
                      <a:picLocks noChangeArrowheads="1" noChangeAspect="1"/>
                    </pic:cNvPicPr>
                  </pic:nvPicPr>
                  <pic:blipFill>
                    <a:blip r:embed="rId57"/>
                    <a:stretch>
                      <a:fillRect/>
                    </a:stretch>
                  </pic:blipFill>
                  <pic:spPr bwMode="auto">
                    <a:xfrm>
                      <a:off x="0" y="0"/>
                      <a:ext cx="5334000" cy="2597171"/>
                    </a:xfrm>
                    <a:prstGeom prst="rect">
                      <a:avLst/>
                    </a:prstGeom>
                    <a:noFill/>
                    <a:ln w="9525">
                      <a:noFill/>
                      <a:headEnd/>
                      <a:tailEnd/>
                    </a:ln>
                  </pic:spPr>
                </pic:pic>
              </a:graphicData>
            </a:graphic>
          </wp:inline>
        </w:drawing>
      </w:r>
    </w:p>
    <w:p>
      <w:pPr>
        <w:pStyle w:val="ImageCaption"/>
      </w:pPr>
      <w:r>
        <w:t xml:space="preserve">R638 Training Price Comparison</w:t>
      </w:r>
    </w:p>
    <w:p>
      <w:pPr>
        <w:pStyle w:val="BodyText"/>
      </w:pPr>
      <w:r>
        <w:rPr>
          <w:iCs/>
          <w:i/>
        </w:rPr>
        <w:t xml:space="preserve">Figure 2.1: R638 Person-in-Charge training prices across six South African providers. RFC’s R1,600 positioning sits just below the R1,924 market average for accredited courses (red dashed line). Source: competitor website analysis, June 2026.</w:t>
      </w:r>
    </w:p>
    <w:bookmarkEnd w:id="60"/>
    <w:bookmarkStart w:id="64" w:name="Xcda92a4083b9ff70207606e2b2ce3af7fed7aac"/>
    <w:p>
      <w:pPr>
        <w:pStyle w:val="Heading4"/>
      </w:pPr>
      <w:r>
        <w:t xml:space="preserve">Table 2.2: Course Catalog Size and Category Comparison</w:t>
      </w:r>
    </w:p>
    <w:tbl>
      <w:tblPr>
        <w:tblStyle w:val="Table"/>
        <w:tblW w:type="pct" w:w="5000"/>
        <w:tblLook w:firstRow="1" w:lastRow="0" w:firstColumn="0" w:lastColumn="0" w:noHBand="0" w:noVBand="0" w:val="0020"/>
      </w:tblPr>
      <w:tblGrid>
        <w:gridCol w:w="1084"/>
        <w:gridCol w:w="1844"/>
        <w:gridCol w:w="1301"/>
        <w:gridCol w:w="1735"/>
        <w:gridCol w:w="1952"/>
      </w:tblGrid>
      <w:tr>
        <w:trPr>
          <w:tblHeader w:val="true"/>
        </w:trPr>
        <w:tc>
          <w:tcPr/>
          <w:p>
            <w:pPr>
              <w:pStyle w:val="Compact"/>
              <w:jc w:val="left"/>
            </w:pPr>
            <w:r>
              <w:t xml:space="preserve">Provider</w:t>
            </w:r>
          </w:p>
        </w:tc>
        <w:tc>
          <w:tcPr/>
          <w:p>
            <w:pPr>
              <w:pStyle w:val="Compact"/>
              <w:jc w:val="left"/>
            </w:pPr>
            <w:r>
              <w:t xml:space="preserve">Courses Offered</w:t>
            </w:r>
          </w:p>
        </w:tc>
        <w:tc>
          <w:tcPr/>
          <w:p>
            <w:pPr>
              <w:pStyle w:val="Compact"/>
              <w:jc w:val="left"/>
            </w:pPr>
            <w:r>
              <w:t xml:space="preserve">Categories</w:t>
            </w:r>
          </w:p>
        </w:tc>
        <w:tc>
          <w:tcPr/>
          <w:p>
            <w:pPr>
              <w:pStyle w:val="Compact"/>
              <w:jc w:val="left"/>
            </w:pPr>
            <w:r>
              <w:t xml:space="preserve">Delivery Modes</w:t>
            </w:r>
          </w:p>
        </w:tc>
        <w:tc>
          <w:tcPr/>
          <w:p>
            <w:pPr>
              <w:pStyle w:val="Compact"/>
              <w:jc w:val="left"/>
            </w:pPr>
            <w:r>
              <w:t xml:space="preserve">Geographic Focus</w:t>
            </w:r>
          </w:p>
        </w:tc>
      </w:tr>
      <w:tr>
        <w:tc>
          <w:tcPr/>
          <w:p>
            <w:pPr>
              <w:pStyle w:val="Compact"/>
              <w:jc w:val="left"/>
            </w:pPr>
            <w:r>
              <w:t xml:space="preserve">ASC Food Safety</w:t>
            </w:r>
          </w:p>
        </w:tc>
        <w:tc>
          <w:tcPr/>
          <w:p>
            <w:pPr>
              <w:pStyle w:val="Compact"/>
              <w:jc w:val="left"/>
            </w:pPr>
            <w:r>
              <w:t xml:space="preserve">65+</w:t>
            </w:r>
          </w:p>
        </w:tc>
        <w:tc>
          <w:tcPr/>
          <w:p>
            <w:pPr>
              <w:pStyle w:val="Compact"/>
              <w:jc w:val="left"/>
            </w:pPr>
            <w:r>
              <w:t xml:space="preserve">8 categories, 5 levels</w:t>
            </w:r>
          </w:p>
        </w:tc>
        <w:tc>
          <w:tcPr/>
          <w:p>
            <w:pPr>
              <w:pStyle w:val="Compact"/>
              <w:jc w:val="left"/>
            </w:pPr>
            <w:r>
              <w:t xml:space="preserve">Online, virtual, classroom, on-site, blended</w:t>
            </w:r>
          </w:p>
        </w:tc>
        <w:tc>
          <w:tcPr/>
          <w:p>
            <w:pPr>
              <w:pStyle w:val="Compact"/>
              <w:jc w:val="left"/>
            </w:pPr>
            <w:r>
              <w:t xml:space="preserve">National (Gqeberha, Randburg, Cape Town)</w:t>
            </w:r>
            <w:r>
              <w:t xml:space="preserve"> </w:t>
            </w:r>
            <w:fldSimple w:instr="NOTEREF _Ref_Footnote_9 \h \f">
              <w:r>
                <w:rPr>
                  <w:vertAlign w:val="superscript"/>
                </w:rPr>
                <w:t>9</w:t>
              </w:r>
            </w:fldSimple>
          </w:p>
        </w:tc>
      </w:tr>
      <w:tr>
        <w:tc>
          <w:tcPr/>
          <w:p>
            <w:pPr>
              <w:pStyle w:val="Compact"/>
              <w:jc w:val="left"/>
            </w:pPr>
            <w:r>
              <w:t xml:space="preserve">AssureCloud</w:t>
            </w:r>
          </w:p>
        </w:tc>
        <w:tc>
          <w:tcPr/>
          <w:p>
            <w:pPr>
              <w:pStyle w:val="Compact"/>
              <w:jc w:val="left"/>
            </w:pPr>
            <w:r>
              <w:t xml:space="preserve">16+</w:t>
            </w:r>
          </w:p>
        </w:tc>
        <w:tc>
          <w:tcPr/>
          <w:p>
            <w:pPr>
              <w:pStyle w:val="Compact"/>
              <w:jc w:val="left"/>
            </w:pPr>
            <w:r>
              <w:t xml:space="preserve">Auditing, HACCP, ISO, R638, PRPs, culture</w:t>
            </w:r>
          </w:p>
        </w:tc>
        <w:tc>
          <w:tcPr/>
          <w:p>
            <w:pPr>
              <w:pStyle w:val="Compact"/>
              <w:jc w:val="left"/>
            </w:pPr>
            <w:r>
              <w:t xml:space="preserve">Classroom, on-site</w:t>
            </w:r>
          </w:p>
        </w:tc>
        <w:tc>
          <w:tcPr/>
          <w:p>
            <w:pPr>
              <w:pStyle w:val="Compact"/>
              <w:jc w:val="left"/>
            </w:pPr>
            <w:r>
              <w:t xml:space="preserve">National</w:t>
            </w:r>
            <w:r>
              <w:t xml:space="preserve"> </w:t>
            </w:r>
            <w:fldSimple w:instr="NOTEREF _Ref_Footnote_41 \h \f">
              <w:r>
                <w:rPr>
                  <w:vertAlign w:val="superscript"/>
                </w:rPr>
                <w:t>41</w:t>
              </w:r>
            </w:fldSimple>
          </w:p>
        </w:tc>
      </w:tr>
      <w:tr>
        <w:tc>
          <w:tcPr/>
          <w:p>
            <w:pPr>
              <w:pStyle w:val="Compact"/>
              <w:jc w:val="left"/>
            </w:pPr>
            <w:r>
              <w:t xml:space="preserve">Entecom</w:t>
            </w:r>
          </w:p>
        </w:tc>
        <w:tc>
          <w:tcPr/>
          <w:p>
            <w:pPr>
              <w:pStyle w:val="Compact"/>
              <w:jc w:val="left"/>
            </w:pPr>
            <w:r>
              <w:t xml:space="preserve">15+</w:t>
            </w:r>
          </w:p>
        </w:tc>
        <w:tc>
          <w:tcPr/>
          <w:p>
            <w:pPr>
              <w:pStyle w:val="Compact"/>
              <w:jc w:val="left"/>
            </w:pPr>
            <w:r>
              <w:t xml:space="preserve">Food safety, health &amp; safety, ISO, environmental</w:t>
            </w:r>
          </w:p>
        </w:tc>
        <w:tc>
          <w:tcPr/>
          <w:p>
            <w:pPr>
              <w:pStyle w:val="Compact"/>
              <w:jc w:val="left"/>
            </w:pPr>
            <w:r>
              <w:t xml:space="preserve">eLearning, virtual, classroom, workshops</w:t>
            </w:r>
          </w:p>
        </w:tc>
        <w:tc>
          <w:tcPr/>
          <w:p>
            <w:pPr>
              <w:pStyle w:val="Compact"/>
              <w:jc w:val="left"/>
            </w:pPr>
            <w:r>
              <w:t xml:space="preserve">National (franchise network)</w:t>
            </w:r>
            <w:r>
              <w:t xml:space="preserve"> </w:t>
            </w:r>
            <w:fldSimple w:instr="NOTEREF _Ref_Footnote_36 \h \f">
              <w:r>
                <w:rPr>
                  <w:vertAlign w:val="superscript"/>
                </w:rPr>
                <w:t>36</w:t>
              </w:r>
            </w:fldSimple>
          </w:p>
        </w:tc>
      </w:tr>
      <w:tr>
        <w:tc>
          <w:tcPr/>
          <w:p>
            <w:pPr>
              <w:pStyle w:val="Compact"/>
              <w:jc w:val="left"/>
            </w:pPr>
            <w:r>
              <w:t xml:space="preserve">Progress Excellence</w:t>
            </w:r>
          </w:p>
        </w:tc>
        <w:tc>
          <w:tcPr/>
          <w:p>
            <w:pPr>
              <w:pStyle w:val="Compact"/>
              <w:jc w:val="left"/>
            </w:pPr>
            <w:r>
              <w:t xml:space="preserve">10+</w:t>
            </w:r>
          </w:p>
        </w:tc>
        <w:tc>
          <w:tcPr/>
          <w:p>
            <w:pPr>
              <w:pStyle w:val="Compact"/>
              <w:jc w:val="left"/>
            </w:pPr>
            <w:r>
              <w:t xml:space="preserve">Food safety, quality, HSE, auditing</w:t>
            </w:r>
          </w:p>
        </w:tc>
        <w:tc>
          <w:tcPr/>
          <w:p>
            <w:pPr>
              <w:pStyle w:val="Compact"/>
              <w:jc w:val="left"/>
            </w:pPr>
            <w:r>
              <w:t xml:space="preserve">Online, classroom</w:t>
            </w:r>
          </w:p>
        </w:tc>
        <w:tc>
          <w:tcPr/>
          <w:p>
            <w:pPr>
              <w:pStyle w:val="Compact"/>
              <w:jc w:val="left"/>
            </w:pPr>
            <w:r>
              <w:t xml:space="preserve">Western Cape</w:t>
            </w:r>
            <w:r>
              <w:t xml:space="preserve"> </w:t>
            </w:r>
            <w:fldSimple w:instr="NOTEREF _Ref_Footnote_40 \h \f">
              <w:r>
                <w:rPr>
                  <w:vertAlign w:val="superscript"/>
                </w:rPr>
                <w:t>40</w:t>
              </w:r>
            </w:fldSimple>
          </w:p>
        </w:tc>
      </w:tr>
      <w:tr>
        <w:tc>
          <w:tcPr/>
          <w:p>
            <w:pPr>
              <w:pStyle w:val="Compact"/>
              <w:jc w:val="left"/>
            </w:pPr>
            <w:r>
              <w:rPr>
                <w:bCs/>
                <w:b/>
              </w:rPr>
              <w:t xml:space="preserve">RFC Academy</w:t>
            </w:r>
          </w:p>
        </w:tc>
        <w:tc>
          <w:tcPr/>
          <w:p>
            <w:pPr>
              <w:pStyle w:val="Compact"/>
              <w:jc w:val="left"/>
            </w:pPr>
            <w:r>
              <w:rPr>
                <w:bCs/>
                <w:b/>
              </w:rPr>
              <w:t xml:space="preserve">3</w:t>
            </w:r>
          </w:p>
        </w:tc>
        <w:tc>
          <w:tcPr/>
          <w:p>
            <w:pPr>
              <w:pStyle w:val="Compact"/>
              <w:jc w:val="left"/>
            </w:pPr>
            <w:r>
              <w:rPr>
                <w:bCs/>
                <w:b/>
              </w:rPr>
              <w:t xml:space="preserve">Food safety only</w:t>
            </w:r>
          </w:p>
        </w:tc>
        <w:tc>
          <w:tcPr/>
          <w:p>
            <w:pPr>
              <w:pStyle w:val="Compact"/>
              <w:jc w:val="left"/>
            </w:pPr>
            <w:r>
              <w:rPr>
                <w:bCs/>
                <w:b/>
              </w:rPr>
              <w:t xml:space="preserve">Online</w:t>
            </w:r>
          </w:p>
        </w:tc>
        <w:tc>
          <w:tcPr/>
          <w:p>
            <w:pPr>
              <w:pStyle w:val="Compact"/>
              <w:jc w:val="left"/>
            </w:pPr>
            <w:r>
              <w:rPr>
                <w:bCs/>
                <w:b/>
              </w:rPr>
              <w:t xml:space="preserve">Pretoria / National</w:t>
            </w:r>
            <w:r>
              <w:t xml:space="preserve"> </w:t>
            </w:r>
            <w:fldSimple w:instr="NOTEREF _Ref_Footnote_3 \h \f">
              <w:r>
                <w:rPr>
                  <w:vertAlign w:val="superscript"/>
                </w:rPr>
                <w:t>3</w:t>
              </w:r>
            </w:fldSimple>
          </w:p>
        </w:tc>
      </w:tr>
      <w:tr>
        <w:tc>
          <w:tcPr/>
          <w:p>
            <w:pPr>
              <w:pStyle w:val="Compact"/>
              <w:jc w:val="left"/>
            </w:pPr>
            <w:r>
              <w:t xml:space="preserve">Food Safety Matters</w:t>
            </w:r>
          </w:p>
        </w:tc>
        <w:tc>
          <w:tcPr/>
          <w:p>
            <w:pPr>
              <w:pStyle w:val="Compact"/>
              <w:jc w:val="left"/>
            </w:pPr>
            <w:r>
              <w:t xml:space="preserve">2</w:t>
            </w:r>
          </w:p>
        </w:tc>
        <w:tc>
          <w:tcPr/>
          <w:p>
            <w:pPr>
              <w:pStyle w:val="Compact"/>
              <w:jc w:val="left"/>
            </w:pPr>
            <w:r>
              <w:t xml:space="preserve">R638, basic food handler</w:t>
            </w:r>
          </w:p>
        </w:tc>
        <w:tc>
          <w:tcPr/>
          <w:p>
            <w:pPr>
              <w:pStyle w:val="Compact"/>
              <w:jc w:val="left"/>
            </w:pPr>
            <w:r>
              <w:t xml:space="preserve">Online via Thinkific</w:t>
            </w:r>
          </w:p>
        </w:tc>
        <w:tc>
          <w:tcPr/>
          <w:p>
            <w:pPr>
              <w:pStyle w:val="Compact"/>
              <w:jc w:val="left"/>
            </w:pPr>
            <w:r>
              <w:t xml:space="preserve">National</w:t>
            </w:r>
            <w:r>
              <w:t xml:space="preserve"> </w:t>
            </w:r>
            <w:fldSimple w:instr="NOTEREF _Ref_Footnote_51 \h \f">
              <w:r>
                <w:rPr>
                  <w:vertAlign w:val="superscript"/>
                </w:rPr>
                <w:t>51</w:t>
              </w:r>
            </w:fldSimple>
          </w:p>
        </w:tc>
      </w:tr>
    </w:tbl>
    <w:p>
      <w:pPr>
        <w:pStyle w:val="BodyText"/>
      </w:pPr>
      <w:r>
        <w:t xml:space="preserve">The catalog comparison exposes RFC Academy’s most critical competitive vulnerability: with only three courses, RFC ties with Food Safety Matters as the smallest catalogue among all analysed competitors</w:t>
      </w:r>
      <w:r>
        <w:t xml:space="preserve"> </w:t>
      </w:r>
      <w:fldSimple w:instr="NOTEREF _Ref_Footnote_3 \h \f">
        <w:r>
          <w:rPr>
            <w:vertAlign w:val="superscript"/>
          </w:rPr>
          <w:t>3</w:t>
        </w:r>
      </w:fldSimple>
      <w:r>
        <w:t xml:space="preserve">. ASC’s 65-plus courses represent a 22-fold advantage in product breadth, but even AssureCloud (16-plus) and Entecom (15-plus) offer five times the training options of RFC Academy</w:t>
      </w:r>
      <w:r>
        <w:t xml:space="preserve"> </w:t>
      </w:r>
      <w:fldSimple w:instr="NOTEREF _Ref_Footnote_41 \h \f">
        <w:r>
          <w:rPr>
            <w:vertAlign w:val="superscript"/>
          </w:rPr>
          <w:t>41</w:t>
        </w:r>
      </w:fldSimple>
      <w:r>
        <w:t xml:space="preserve"> </w:t>
      </w:r>
      <w:fldSimple w:instr="NOTEREF _Ref_Footnote_36 \h \f">
        <w:r>
          <w:rPr>
            <w:vertAlign w:val="superscript"/>
          </w:rPr>
          <w:t>36</w:t>
        </w:r>
      </w:fldSimple>
      <w:r>
        <w:t xml:space="preserve">.</w:t>
      </w:r>
    </w:p>
    <w:p>
      <w:pPr>
        <w:pStyle w:val="CaptionedFigure"/>
      </w:pPr>
      <w:r>
        <w:drawing>
          <wp:inline>
            <wp:extent cx="5334000" cy="2853469"/>
            <wp:effectExtent b="0" l="0" r="0" t="0"/>
            <wp:docPr descr="Course Catalog Size Comparison" title="" id="62" name="Picture"/>
            <a:graphic>
              <a:graphicData uri="http://schemas.openxmlformats.org/drawingml/2006/picture">
                <pic:pic>
                  <pic:nvPicPr>
                    <pic:cNvPr descr="rfc_sec02_catalog_chart.png" id="63" name="Picture"/>
                    <pic:cNvPicPr>
                      <a:picLocks noChangeArrowheads="1" noChangeAspect="1"/>
                    </pic:cNvPicPr>
                  </pic:nvPicPr>
                  <pic:blipFill>
                    <a:blip r:embed="rId61"/>
                    <a:stretch>
                      <a:fillRect/>
                    </a:stretch>
                  </pic:blipFill>
                  <pic:spPr bwMode="auto">
                    <a:xfrm>
                      <a:off x="0" y="0"/>
                      <a:ext cx="5334000" cy="2853469"/>
                    </a:xfrm>
                    <a:prstGeom prst="rect">
                      <a:avLst/>
                    </a:prstGeom>
                    <a:noFill/>
                    <a:ln w="9525">
                      <a:noFill/>
                      <a:headEnd/>
                      <a:tailEnd/>
                    </a:ln>
                  </pic:spPr>
                </pic:pic>
              </a:graphicData>
            </a:graphic>
          </wp:inline>
        </w:drawing>
      </w:r>
    </w:p>
    <w:p>
      <w:pPr>
        <w:pStyle w:val="ImageCaption"/>
      </w:pPr>
      <w:r>
        <w:t xml:space="preserve">Course Catalog Size Comparison</w:t>
      </w:r>
    </w:p>
    <w:p>
      <w:pPr>
        <w:pStyle w:val="BodyText"/>
      </w:pPr>
      <w:r>
        <w:rPr>
          <w:iCs/>
          <w:i/>
        </w:rPr>
        <w:t xml:space="preserve">Figure 2.2: Course catalog size comparison across six food safety training providers. RFC Academy’s 3 courses represent the second-smallest catalogue, creating a significant competitive gap in training revenue potential. Source: competitor website analysis, June 2026.</w:t>
      </w:r>
    </w:p>
    <w:bookmarkEnd w:id="64"/>
    <w:bookmarkStart w:id="65" w:name="Xbfbed6b8f8e5de942e68e2db743ac99c80e5ecb"/>
    <w:p>
      <w:pPr>
        <w:pStyle w:val="Heading4"/>
      </w:pPr>
      <w:r>
        <w:t xml:space="preserve">Table 2.3: Content Strategy and Lead Generation Capability Comparison</w:t>
      </w:r>
    </w:p>
    <w:tbl>
      <w:tblPr>
        <w:tblStyle w:val="Table"/>
        <w:tblW w:type="pct" w:w="5000"/>
        <w:tblLook w:firstRow="1" w:lastRow="0" w:firstColumn="0" w:lastColumn="0" w:noHBand="0" w:noVBand="0" w:val="0020"/>
      </w:tblPr>
      <w:tblGrid>
        <w:gridCol w:w="761"/>
        <w:gridCol w:w="1142"/>
        <w:gridCol w:w="1675"/>
        <w:gridCol w:w="1827"/>
        <w:gridCol w:w="1446"/>
        <w:gridCol w:w="1066"/>
      </w:tblGrid>
      <w:tr>
        <w:trPr>
          <w:tblHeader w:val="true"/>
        </w:trPr>
        <w:tc>
          <w:tcPr/>
          <w:p>
            <w:pPr>
              <w:pStyle w:val="Compact"/>
              <w:jc w:val="left"/>
            </w:pPr>
            <w:r>
              <w:t xml:space="preserve">Provider</w:t>
            </w:r>
          </w:p>
        </w:tc>
        <w:tc>
          <w:tcPr/>
          <w:p>
            <w:pPr>
              <w:pStyle w:val="Compact"/>
              <w:jc w:val="left"/>
            </w:pPr>
            <w:r>
              <w:t xml:space="preserve">Blog/Articles</w:t>
            </w:r>
          </w:p>
        </w:tc>
        <w:tc>
          <w:tcPr/>
          <w:p>
            <w:pPr>
              <w:pStyle w:val="Compact"/>
              <w:jc w:val="left"/>
            </w:pPr>
            <w:r>
              <w:t xml:space="preserve">Downloadable Resources</w:t>
            </w:r>
          </w:p>
        </w:tc>
        <w:tc>
          <w:tcPr/>
          <w:p>
            <w:pPr>
              <w:pStyle w:val="Compact"/>
              <w:jc w:val="left"/>
            </w:pPr>
            <w:r>
              <w:t xml:space="preserve">Lead Capture Mechanisms</w:t>
            </w:r>
          </w:p>
        </w:tc>
        <w:tc>
          <w:tcPr/>
          <w:p>
            <w:pPr>
              <w:pStyle w:val="Compact"/>
              <w:jc w:val="left"/>
            </w:pPr>
            <w:r>
              <w:t xml:space="preserve">Content Freshness</w:t>
            </w:r>
          </w:p>
        </w:tc>
        <w:tc>
          <w:tcPr/>
          <w:p>
            <w:pPr>
              <w:pStyle w:val="Compact"/>
              <w:jc w:val="left"/>
            </w:pPr>
            <w:r>
              <w:t xml:space="preserve">SEO Strength</w:t>
            </w:r>
          </w:p>
        </w:tc>
      </w:tr>
      <w:tr>
        <w:tc>
          <w:tcPr/>
          <w:p>
            <w:pPr>
              <w:pStyle w:val="Compact"/>
              <w:jc w:val="left"/>
            </w:pPr>
            <w:r>
              <w:t xml:space="preserve">ASC Food Safety</w:t>
            </w:r>
          </w:p>
        </w:tc>
        <w:tc>
          <w:tcPr/>
          <w:p>
            <w:pPr>
              <w:pStyle w:val="Compact"/>
              <w:jc w:val="left"/>
            </w:pPr>
            <w:r>
              <w:t xml:space="preserve">50+ pillar guides (2,000–5,000 words)</w:t>
            </w:r>
          </w:p>
        </w:tc>
        <w:tc>
          <w:tcPr/>
          <w:p>
            <w:pPr>
              <w:pStyle w:val="Compact"/>
              <w:jc w:val="left"/>
            </w:pPr>
            <w:r>
              <w:t xml:space="preserve">FSMS toolkits, checklists, templates</w:t>
            </w:r>
          </w:p>
        </w:tc>
        <w:tc>
          <w:tcPr/>
          <w:p>
            <w:pPr>
              <w:pStyle w:val="Compact"/>
              <w:jc w:val="left"/>
            </w:pPr>
            <w:r>
              <w:t xml:space="preserve">Free consultation, course bundles, WhatsApp, enterprise enquiry</w:t>
            </w:r>
          </w:p>
        </w:tc>
        <w:tc>
          <w:tcPr/>
          <w:p>
            <w:pPr>
              <w:pStyle w:val="Compact"/>
              <w:jc w:val="left"/>
            </w:pPr>
            <w:r>
              <w:t xml:space="preserve">Weekly updates</w:t>
            </w:r>
            <w:r>
              <w:t xml:space="preserve"> </w:t>
            </w:r>
            <w:fldSimple w:instr="NOTEREF _Ref_Footnote_44 \h \f">
              <w:r>
                <w:rPr>
                  <w:vertAlign w:val="superscript"/>
                </w:rPr>
                <w:t>44</w:t>
              </w:r>
            </w:fldSimple>
          </w:p>
        </w:tc>
        <w:tc>
          <w:tcPr/>
          <w:p>
            <w:pPr>
              <w:pStyle w:val="Compact"/>
              <w:jc w:val="left"/>
            </w:pPr>
            <w:r>
              <w:t xml:space="preserve">Very High — page 1 for virtually all major keywords</w:t>
            </w:r>
            <w:r>
              <w:t xml:space="preserve"> </w:t>
            </w:r>
            <w:fldSimple w:instr="NOTEREF _Ref_Footnote_9 \h \f">
              <w:r>
                <w:rPr>
                  <w:vertAlign w:val="superscript"/>
                </w:rPr>
                <w:t>9</w:t>
              </w:r>
            </w:fldSimple>
          </w:p>
        </w:tc>
      </w:tr>
      <w:tr>
        <w:tc>
          <w:tcPr/>
          <w:p>
            <w:pPr>
              <w:pStyle w:val="Compact"/>
              <w:jc w:val="left"/>
            </w:pPr>
            <w:r>
              <w:t xml:space="preserve">Entecom</w:t>
            </w:r>
          </w:p>
        </w:tc>
        <w:tc>
          <w:tcPr/>
          <w:p>
            <w:pPr>
              <w:pStyle w:val="Compact"/>
              <w:jc w:val="left"/>
            </w:pPr>
            <w:r>
              <w:t xml:space="preserve">46+ articles, 61+ eBooks, 11 podcasts, 5 webinars</w:t>
            </w:r>
          </w:p>
        </w:tc>
        <w:tc>
          <w:tcPr/>
          <w:p>
            <w:pPr>
              <w:pStyle w:val="Compact"/>
              <w:jc w:val="left"/>
            </w:pPr>
            <w:r>
              <w:t xml:space="preserve">eBooks (gated), webinar recordings</w:t>
            </w:r>
          </w:p>
        </w:tc>
        <w:tc>
          <w:tcPr/>
          <w:p>
            <w:pPr>
              <w:pStyle w:val="Compact"/>
              <w:jc w:val="left"/>
            </w:pPr>
            <w:r>
              <w:t xml:space="preserve">Free downloads, chat widget, callback requests, newsletter, franchise enquiry</w:t>
            </w:r>
          </w:p>
        </w:tc>
        <w:tc>
          <w:tcPr/>
          <w:p>
            <w:pPr>
              <w:pStyle w:val="Compact"/>
              <w:jc w:val="left"/>
            </w:pPr>
            <w:r>
              <w:t xml:space="preserve">Monthly updates</w:t>
            </w:r>
            <w:r>
              <w:t xml:space="preserve"> </w:t>
            </w:r>
            <w:fldSimple w:instr="NOTEREF _Ref_Footnote_17 \h \f">
              <w:r>
                <w:rPr>
                  <w:vertAlign w:val="superscript"/>
                </w:rPr>
                <w:t>17</w:t>
              </w:r>
            </w:fldSimple>
          </w:p>
        </w:tc>
        <w:tc>
          <w:tcPr/>
          <w:p>
            <w:pPr>
              <w:pStyle w:val="Compact"/>
              <w:jc w:val="left"/>
            </w:pPr>
            <w:r>
              <w:t xml:space="preserve">High — multi-format indexing</w:t>
            </w:r>
            <w:r>
              <w:t xml:space="preserve"> </w:t>
            </w:r>
            <w:fldSimple w:instr="NOTEREF _Ref_Footnote_36 \h \f">
              <w:r>
                <w:rPr>
                  <w:vertAlign w:val="superscript"/>
                </w:rPr>
                <w:t>36</w:t>
              </w:r>
            </w:fldSimple>
          </w:p>
        </w:tc>
      </w:tr>
      <w:tr>
        <w:tc>
          <w:tcPr/>
          <w:p>
            <w:pPr>
              <w:pStyle w:val="Compact"/>
              <w:jc w:val="left"/>
            </w:pPr>
            <w:r>
              <w:t xml:space="preserve">Shilux</w:t>
            </w:r>
          </w:p>
        </w:tc>
        <w:tc>
          <w:tcPr/>
          <w:p>
            <w:pPr>
              <w:pStyle w:val="Compact"/>
              <w:jc w:val="left"/>
            </w:pPr>
            <w:r>
              <w:t xml:space="preserve">Resources section, FAQ</w:t>
            </w:r>
          </w:p>
        </w:tc>
        <w:tc>
          <w:tcPr/>
          <w:p>
            <w:pPr>
              <w:pStyle w:val="Compact"/>
              <w:jc w:val="left"/>
            </w:pPr>
            <w:r>
              <w:t xml:space="preserve">SME support guide</w:t>
            </w:r>
          </w:p>
        </w:tc>
        <w:tc>
          <w:tcPr/>
          <w:p>
            <w:pPr>
              <w:pStyle w:val="Compact"/>
              <w:jc w:val="left"/>
            </w:pPr>
            <w:r>
              <w:t xml:space="preserve">WhatsApp click-to-chat, contact form, software demo requests</w:t>
            </w:r>
          </w:p>
        </w:tc>
        <w:tc>
          <w:tcPr/>
          <w:p>
            <w:pPr>
              <w:pStyle w:val="Compact"/>
              <w:jc w:val="left"/>
            </w:pPr>
            <w:r>
              <w:t xml:space="preserve">Infrequent</w:t>
            </w:r>
            <w:r>
              <w:t xml:space="preserve"> </w:t>
            </w:r>
            <w:fldSimple w:instr="NOTEREF _Ref_Footnote_23 \h \f">
              <w:r>
                <w:rPr>
                  <w:vertAlign w:val="superscript"/>
                </w:rPr>
                <w:t>23</w:t>
              </w:r>
            </w:fldSimple>
          </w:p>
        </w:tc>
        <w:tc>
          <w:tcPr/>
          <w:p>
            <w:pPr>
              <w:pStyle w:val="Compact"/>
              <w:jc w:val="left"/>
            </w:pPr>
            <w:r>
              <w:t xml:space="preserve">Moderate — thin long-form content</w:t>
            </w:r>
          </w:p>
        </w:tc>
      </w:tr>
      <w:tr>
        <w:tc>
          <w:tcPr/>
          <w:p>
            <w:pPr>
              <w:pStyle w:val="Compact"/>
              <w:jc w:val="left"/>
            </w:pPr>
            <w:r>
              <w:t xml:space="preserve">Figuro / Your Food Safety Guide</w:t>
            </w:r>
          </w:p>
        </w:tc>
        <w:tc>
          <w:tcPr/>
          <w:p>
            <w:pPr>
              <w:pStyle w:val="Compact"/>
              <w:jc w:val="left"/>
            </w:pPr>
            <w:r>
              <w:t xml:space="preserve">Blog with founder-focused articles</w:t>
            </w:r>
          </w:p>
        </w:tc>
        <w:tc>
          <w:tcPr/>
          <w:p>
            <w:pPr>
              <w:pStyle w:val="Compact"/>
              <w:jc w:val="left"/>
            </w:pPr>
            <w:r>
              <w:t xml:space="preserve">Free newsletter, quiz tool, micro-lessons</w:t>
            </w:r>
          </w:p>
        </w:tc>
        <w:tc>
          <w:tcPr/>
          <w:p>
            <w:pPr>
              <w:pStyle w:val="Compact"/>
              <w:jc w:val="left"/>
            </w:pPr>
            <w:r>
              <w:t xml:space="preserve">Newsletter signup,</w:t>
            </w:r>
            <w:r>
              <w:t xml:space="preserve"> </w:t>
            </w:r>
            <w:r>
              <w:t xml:space="preserve">“</w:t>
            </w:r>
            <w:r>
              <w:t xml:space="preserve">Find Your Starting Point</w:t>
            </w:r>
            <w:r>
              <w:t xml:space="preserve">”</w:t>
            </w:r>
            <w:r>
              <w:t xml:space="preserve"> </w:t>
            </w:r>
            <w:r>
              <w:t xml:space="preserve">quiz, portal access</w:t>
            </w:r>
          </w:p>
        </w:tc>
        <w:tc>
          <w:tcPr/>
          <w:p>
            <w:pPr>
              <w:pStyle w:val="Compact"/>
              <w:jc w:val="left"/>
            </w:pPr>
            <w:r>
              <w:t xml:space="preserve">Weekly newsletter</w:t>
            </w:r>
            <w:r>
              <w:t xml:space="preserve"> </w:t>
            </w:r>
            <w:fldSimple w:instr="NOTEREF _Ref_Footnote_24 \h \f">
              <w:r>
                <w:rPr>
                  <w:vertAlign w:val="superscript"/>
                </w:rPr>
                <w:t>24</w:t>
              </w:r>
            </w:fldSimple>
          </w:p>
        </w:tc>
        <w:tc>
          <w:tcPr/>
          <w:p>
            <w:pPr>
              <w:pStyle w:val="Compact"/>
              <w:jc w:val="left"/>
            </w:pPr>
            <w:r>
              <w:t xml:space="preserve">Moderate — focused niche</w:t>
            </w:r>
          </w:p>
        </w:tc>
      </w:tr>
      <w:tr>
        <w:tc>
          <w:tcPr/>
          <w:p>
            <w:pPr>
              <w:pStyle w:val="Compact"/>
              <w:jc w:val="left"/>
            </w:pPr>
            <w:r>
              <w:t xml:space="preserve">Progress Excellence</w:t>
            </w:r>
          </w:p>
        </w:tc>
        <w:tc>
          <w:tcPr/>
          <w:p>
            <w:pPr>
              <w:pStyle w:val="Compact"/>
              <w:jc w:val="left"/>
            </w:pPr>
            <w:r>
              <w:t xml:space="preserve">20+ articles (Food Bites Blog)</w:t>
            </w:r>
          </w:p>
        </w:tc>
        <w:tc>
          <w:tcPr/>
          <w:p>
            <w:pPr>
              <w:pStyle w:val="Compact"/>
              <w:jc w:val="left"/>
            </w:pPr>
            <w:r>
              <w:t xml:space="preserve">PDF comparisons, fact sheets</w:t>
            </w:r>
          </w:p>
        </w:tc>
        <w:tc>
          <w:tcPr/>
          <w:p>
            <w:pPr>
              <w:pStyle w:val="Compact"/>
              <w:jc w:val="left"/>
            </w:pPr>
            <w:r>
              <w:t xml:space="preserve">Newsletter signup (header), custom quote requests</w:t>
            </w:r>
          </w:p>
        </w:tc>
        <w:tc>
          <w:tcPr/>
          <w:p>
            <w:pPr>
              <w:pStyle w:val="Compact"/>
              <w:jc w:val="left"/>
            </w:pPr>
            <w:r>
              <w:t xml:space="preserve">Infrequent</w:t>
            </w:r>
            <w:r>
              <w:t xml:space="preserve"> </w:t>
            </w:r>
            <w:fldSimple w:instr="NOTEREF _Ref_Footnote_19 \h \f">
              <w:r>
                <w:rPr>
                  <w:vertAlign w:val="superscript"/>
                </w:rPr>
                <w:t>19</w:t>
              </w:r>
            </w:fldSimple>
          </w:p>
        </w:tc>
        <w:tc>
          <w:tcPr/>
          <w:p>
            <w:pPr>
              <w:pStyle w:val="Compact"/>
              <w:jc w:val="left"/>
            </w:pPr>
            <w:r>
              <w:t xml:space="preserve">Low-Moderate</w:t>
            </w:r>
          </w:p>
        </w:tc>
      </w:tr>
      <w:tr>
        <w:tc>
          <w:tcPr/>
          <w:p>
            <w:pPr>
              <w:pStyle w:val="Compact"/>
              <w:jc w:val="left"/>
            </w:pPr>
            <w:r>
              <w:t xml:space="preserve">Food Safety Matters</w:t>
            </w:r>
          </w:p>
        </w:tc>
        <w:tc>
          <w:tcPr/>
          <w:p>
            <w:pPr>
              <w:pStyle w:val="Compact"/>
              <w:jc w:val="left"/>
            </w:pPr>
            <w:r>
              <w:t xml:space="preserve">5+ SEO-targeted blog posts</w:t>
            </w:r>
          </w:p>
        </w:tc>
        <w:tc>
          <w:tcPr/>
          <w:p>
            <w:pPr>
              <w:pStyle w:val="Compact"/>
              <w:jc w:val="left"/>
            </w:pPr>
            <w:r>
              <w:t xml:space="preserve">Free R638 PDF, free COA guide</w:t>
            </w:r>
          </w:p>
        </w:tc>
        <w:tc>
          <w:tcPr/>
          <w:p>
            <w:pPr>
              <w:pStyle w:val="Compact"/>
              <w:jc w:val="left"/>
            </w:pPr>
            <w:r>
              <w:t xml:space="preserve">Free download gating for email capture</w:t>
            </w:r>
          </w:p>
        </w:tc>
        <w:tc>
          <w:tcPr/>
          <w:p>
            <w:pPr>
              <w:pStyle w:val="Compact"/>
              <w:jc w:val="left"/>
            </w:pPr>
            <w:r>
              <w:t xml:space="preserve">Infrequent</w:t>
            </w:r>
            <w:r>
              <w:t xml:space="preserve"> </w:t>
            </w:r>
            <w:fldSimple w:instr="NOTEREF _Ref_Footnote_51 \h \f">
              <w:r>
                <w:rPr>
                  <w:vertAlign w:val="superscript"/>
                </w:rPr>
                <w:t>51</w:t>
              </w:r>
            </w:fldSimple>
          </w:p>
        </w:tc>
        <w:tc>
          <w:tcPr/>
          <w:p>
            <w:pPr>
              <w:pStyle w:val="Compact"/>
              <w:jc w:val="left"/>
            </w:pPr>
            <w:r>
              <w:t xml:space="preserve">Moderate — strong niche focus</w:t>
            </w:r>
          </w:p>
        </w:tc>
      </w:tr>
      <w:tr>
        <w:tc>
          <w:tcPr/>
          <w:p>
            <w:pPr>
              <w:pStyle w:val="Compact"/>
              <w:jc w:val="left"/>
            </w:pPr>
            <w:r>
              <w:t xml:space="preserve">Hygiene Heroes</w:t>
            </w:r>
          </w:p>
        </w:tc>
        <w:tc>
          <w:tcPr/>
          <w:p>
            <w:pPr>
              <w:pStyle w:val="Compact"/>
              <w:jc w:val="left"/>
            </w:pPr>
            <w:r>
              <w:t xml:space="preserve">1 comprehensive guide</w:t>
            </w:r>
          </w:p>
        </w:tc>
        <w:tc>
          <w:tcPr/>
          <w:p>
            <w:pPr>
              <w:pStyle w:val="Compact"/>
              <w:jc w:val="left"/>
            </w:pPr>
            <w:r>
              <w:t xml:space="preserve">Free R638 compliance guide</w:t>
            </w:r>
          </w:p>
        </w:tc>
        <w:tc>
          <w:tcPr/>
          <w:p>
            <w:pPr>
              <w:pStyle w:val="Compact"/>
              <w:jc w:val="left"/>
            </w:pPr>
            <w:r>
              <w:t xml:space="preserve">“</w:t>
            </w:r>
            <w:r>
              <w:t xml:space="preserve">Join the Movement</w:t>
            </w:r>
            <w:r>
              <w:t xml:space="preserve">”</w:t>
            </w:r>
            <w:r>
              <w:t xml:space="preserve"> </w:t>
            </w:r>
            <w:r>
              <w:t xml:space="preserve">community signup</w:t>
            </w:r>
          </w:p>
        </w:tc>
        <w:tc>
          <w:tcPr/>
          <w:p>
            <w:pPr>
              <w:pStyle w:val="Compact"/>
              <w:jc w:val="left"/>
            </w:pPr>
            <w:r>
              <w:t xml:space="preserve">Unknown</w:t>
            </w:r>
            <w:r>
              <w:t xml:space="preserve"> </w:t>
            </w:r>
            <w:fldSimple w:instr="NOTEREF _Ref_Footnote_39 \h \f">
              <w:r>
                <w:rPr>
                  <w:vertAlign w:val="superscript"/>
                </w:rPr>
                <w:t>39</w:t>
              </w:r>
            </w:fldSimple>
          </w:p>
        </w:tc>
        <w:tc>
          <w:tcPr/>
          <w:p>
            <w:pPr>
              <w:pStyle w:val="Compact"/>
              <w:jc w:val="left"/>
            </w:pPr>
            <w:r>
              <w:t xml:space="preserve">Low — single asset</w:t>
            </w:r>
          </w:p>
        </w:tc>
      </w:tr>
      <w:tr>
        <w:tc>
          <w:tcPr/>
          <w:p>
            <w:pPr>
              <w:pStyle w:val="Compact"/>
              <w:jc w:val="left"/>
            </w:pPr>
            <w:r>
              <w:rPr>
                <w:bCs/>
                <w:b/>
              </w:rPr>
              <w:t xml:space="preserve">RFC</w:t>
            </w:r>
          </w:p>
        </w:tc>
        <w:tc>
          <w:tcPr/>
          <w:p>
            <w:pPr>
              <w:pStyle w:val="Compact"/>
              <w:jc w:val="left"/>
            </w:pPr>
            <w:r>
              <w:rPr>
                <w:bCs/>
                <w:b/>
              </w:rPr>
              <w:t xml:space="preserve">None</w:t>
            </w:r>
          </w:p>
        </w:tc>
        <w:tc>
          <w:tcPr/>
          <w:p>
            <w:pPr>
              <w:pStyle w:val="Compact"/>
              <w:jc w:val="left"/>
            </w:pPr>
            <w:r>
              <w:rPr>
                <w:bCs/>
                <w:b/>
              </w:rPr>
              <w:t xml:space="preserve">None</w:t>
            </w:r>
          </w:p>
        </w:tc>
        <w:tc>
          <w:tcPr/>
          <w:p>
            <w:pPr>
              <w:pStyle w:val="Compact"/>
              <w:jc w:val="left"/>
            </w:pPr>
            <w:r>
              <w:rPr>
                <w:bCs/>
                <w:b/>
              </w:rPr>
              <w:t xml:space="preserve">Contact form only</w:t>
            </w:r>
          </w:p>
        </w:tc>
        <w:tc>
          <w:tcPr/>
          <w:p>
            <w:pPr>
              <w:pStyle w:val="Compact"/>
              <w:jc w:val="left"/>
            </w:pPr>
            <w:r>
              <w:rPr>
                <w:bCs/>
                <w:b/>
              </w:rPr>
              <w:t xml:space="preserve">N/A</w:t>
            </w:r>
            <w:r>
              <w:t xml:space="preserve"> </w:t>
            </w:r>
            <w:fldSimple w:instr="NOTEREF _Ref_Footnote_3 \h \f">
              <w:r>
                <w:rPr>
                  <w:vertAlign w:val="superscript"/>
                </w:rPr>
                <w:t>3</w:t>
              </w:r>
            </w:fldSimple>
          </w:p>
        </w:tc>
        <w:tc>
          <w:tcPr/>
          <w:p>
            <w:pPr>
              <w:pStyle w:val="Compact"/>
              <w:jc w:val="left"/>
            </w:pPr>
            <w:r>
              <w:rPr>
                <w:bCs/>
                <w:b/>
              </w:rPr>
              <w:t xml:space="preserve">Very Low — no content index</w:t>
            </w:r>
          </w:p>
        </w:tc>
      </w:tr>
    </w:tbl>
    <w:bookmarkEnd w:id="65"/>
    <w:bookmarkStart w:id="66" w:name="strategic-analysis-and-recommendations"/>
    <w:p>
      <w:pPr>
        <w:pStyle w:val="Heading4"/>
      </w:pPr>
      <w:r>
        <w:t xml:space="preserve">Strategic Analysis and Recommendations</w:t>
      </w:r>
    </w:p>
    <w:p>
      <w:pPr>
        <w:pStyle w:val="FirstParagraph"/>
      </w:pPr>
      <w:r>
        <w:t xml:space="preserve">The pricing and catalog data converge on a single diagnosis: RFC is under-invested in the two assets that increasingly determine competitive success — training course breadth and content marketing infrastructure.</w:t>
      </w:r>
    </w:p>
    <w:p>
      <w:pPr>
        <w:pStyle w:val="BodyText"/>
      </w:pPr>
      <w:r>
        <w:rPr>
          <w:bCs/>
          <w:b/>
        </w:rPr>
        <w:t xml:space="preserve">Recommendation 1: Close the course catalog gap through phased expansion.</w:t>
      </w:r>
      <w:r>
        <w:t xml:space="preserve"> </w:t>
      </w:r>
      <w:r>
        <w:t xml:space="preserve">RFC Academy should add four to six courses within the next 12 months, prioritising topics that RFC already teaches in consulting engagements, that carry proven search demand, and that do not require new accreditation. Priority additions include: HACCP Awareness and Implementation, Internal Auditor Training (ISO 22000 / FSSC 22000), Food Defence and Food Fraud (VACCP/TACCP), Food Safety Culture, and Basic Food Handler Training. Each is offered by at least two competitors, confirming market demand, and RFC’s existing SAATCA registration likely covers or can be extended to these programme areas.</w:t>
      </w:r>
    </w:p>
    <w:p>
      <w:pPr>
        <w:pStyle w:val="BodyText"/>
      </w:pPr>
      <w:r>
        <w:rPr>
          <w:bCs/>
          <w:b/>
        </w:rPr>
        <w:t xml:space="preserve">Recommendation 2: Defend the R1,600 price point through value bundling.</w:t>
      </w:r>
      <w:r>
        <w:t xml:space="preserve"> </w:t>
      </w:r>
      <w:r>
        <w:t xml:space="preserve">ASC’s R879 pricing is almost certainly a loss-leader designed to maximise enrolment volume. RFC cannot profitably match this price. Instead, RFC should bundle its R638 course with high-value add-ons that ASC does not include at entry level: a downloadable R638 compliance checklist, a COA application guide, a 15-minute post-course consultation call, and WhatsApp support for regulatory questions. This transforms the offering from</w:t>
      </w:r>
      <w:r>
        <w:t xml:space="preserve"> </w:t>
      </w:r>
      <w:r>
        <w:t xml:space="preserve">“</w:t>
      </w:r>
      <w:r>
        <w:t xml:space="preserve">a course</w:t>
      </w:r>
      <w:r>
        <w:t xml:space="preserve">”</w:t>
      </w:r>
      <w:r>
        <w:t xml:space="preserve"> </w:t>
      </w:r>
      <w:r>
        <w:t xml:space="preserve">to</w:t>
      </w:r>
      <w:r>
        <w:t xml:space="preserve"> </w:t>
      </w:r>
      <w:r>
        <w:t xml:space="preserve">“</w:t>
      </w:r>
      <w:r>
        <w:t xml:space="preserve">a compliance package,</w:t>
      </w:r>
      <w:r>
        <w:t xml:space="preserve">”</w:t>
      </w:r>
      <w:r>
        <w:t xml:space="preserve"> </w:t>
      </w:r>
      <w:r>
        <w:t xml:space="preserve">justifying the premium over ASC’s stripped-down entry product.</w:t>
      </w:r>
    </w:p>
    <w:p>
      <w:pPr>
        <w:pStyle w:val="BodyText"/>
      </w:pPr>
      <w:r>
        <w:rPr>
          <w:bCs/>
          <w:b/>
        </w:rPr>
        <w:t xml:space="preserve">Recommendation 3: Launch a content hub before expanding the catalog.</w:t>
      </w:r>
      <w:r>
        <w:t xml:space="preserve"> </w:t>
      </w:r>
      <w:r>
        <w:t xml:space="preserve">While course expansion addresses revenue potential, content marketing addresses customer acquisition cost. ASC and Entecom have built moats of indexed content that attract organic traffic without ongoing advertising spend. RFC currently has no blog, no resources section, and no lead magnets — meaning every prospect must be acquired through paid channels or personal referral</w:t>
      </w:r>
      <w:r>
        <w:t xml:space="preserve"> </w:t>
      </w:r>
      <w:fldSimple w:instr="NOTEREF _Ref_Footnote_3 \h \f">
        <w:r>
          <w:rPr>
            <w:vertAlign w:val="superscript"/>
          </w:rPr>
          <w:t>3</w:t>
        </w:r>
      </w:fldSimple>
      <w:r>
        <w:t xml:space="preserve">. Launching a /blog or /resources section on rfcsa.co.za with four pillar articles (</w:t>
      </w:r>
      <w:r>
        <w:t xml:space="preserve">“</w:t>
      </w:r>
      <w:r>
        <w:t xml:space="preserve">Complete Guide to R638 Compliance,</w:t>
      </w:r>
      <w:r>
        <w:t xml:space="preserve">”</w:t>
      </w:r>
      <w:r>
        <w:t xml:space="preserve"> </w:t>
      </w:r>
      <w:r>
        <w:t xml:space="preserve">“</w:t>
      </w:r>
      <w:r>
        <w:t xml:space="preserve">HACCP Training in South Africa: 2026 Comparison,</w:t>
      </w:r>
      <w:r>
        <w:t xml:space="preserve">”</w:t>
      </w:r>
      <w:r>
        <w:t xml:space="preserve"> </w:t>
      </w:r>
      <w:r>
        <w:t xml:space="preserve">“</w:t>
      </w:r>
      <w:r>
        <w:t xml:space="preserve">FSSC 22000 V7: What Changed,</w:t>
      </w:r>
      <w:r>
        <w:t xml:space="preserve">”</w:t>
      </w:r>
      <w:r>
        <w:t xml:space="preserve"> </w:t>
      </w:r>
      <w:r>
        <w:t xml:space="preserve">and</w:t>
      </w:r>
      <w:r>
        <w:t xml:space="preserve"> </w:t>
      </w:r>
      <w:r>
        <w:t xml:space="preserve">“</w:t>
      </w:r>
      <w:r>
        <w:t xml:space="preserve">How to Get Your Certificate of Acceptability in Pretoria</w:t>
      </w:r>
      <w:r>
        <w:t xml:space="preserve">”</w:t>
      </w:r>
      <w:r>
        <w:t xml:space="preserve">) would begin closing the content gap within 60 days and create indexed assets that generate traffic for years.</w:t>
      </w:r>
    </w:p>
    <w:p>
      <w:pPr>
        <w:pStyle w:val="BodyText"/>
      </w:pPr>
      <w:r>
        <w:rPr>
          <w:bCs/>
          <w:b/>
        </w:rPr>
        <w:t xml:space="preserve">Recommendation 4: Target the local SEO gap while national competitors focus elsewhere.</w:t>
      </w:r>
      <w:r>
        <w:t xml:space="preserve"> </w:t>
      </w:r>
      <w:r>
        <w:t xml:space="preserve">ASC’s city landing pages focus heavily on Gqeberha and the Eastern Cape, with secondary coverage of Johannesburg and Cape Town</w:t>
      </w:r>
      <w:r>
        <w:t xml:space="preserve"> </w:t>
      </w:r>
      <w:fldSimple w:instr="NOTEREF _Ref_Footnote_9 \h \f">
        <w:r>
          <w:rPr>
            <w:vertAlign w:val="superscript"/>
          </w:rPr>
          <w:t>9</w:t>
        </w:r>
      </w:fldSimple>
      <w:r>
        <w:t xml:space="preserve">. Pretoria — RFC’s home market — receives comparatively thin competitive coverage. Creating dedicated landing pages for</w:t>
      </w:r>
      <w:r>
        <w:t xml:space="preserve"> </w:t>
      </w:r>
      <w:r>
        <w:t xml:space="preserve">“</w:t>
      </w:r>
      <w:r>
        <w:t xml:space="preserve">food safety training Pretoria,</w:t>
      </w:r>
      <w:r>
        <w:t xml:space="preserve">”</w:t>
      </w:r>
      <w:r>
        <w:t xml:space="preserve"> </w:t>
      </w:r>
      <w:r>
        <w:t xml:space="preserve">“</w:t>
      </w:r>
      <w:r>
        <w:t xml:space="preserve">R638 training Pretoria,</w:t>
      </w:r>
      <w:r>
        <w:t xml:space="preserve">”</w:t>
      </w:r>
      <w:r>
        <w:t xml:space="preserve"> </w:t>
      </w:r>
      <w:r>
        <w:t xml:space="preserve">and</w:t>
      </w:r>
      <w:r>
        <w:t xml:space="preserve"> </w:t>
      </w:r>
      <w:r>
        <w:t xml:space="preserve">“</w:t>
      </w:r>
      <w:r>
        <w:t xml:space="preserve">HACCP training Pretoria</w:t>
      </w:r>
      <w:r>
        <w:t xml:space="preserve">”</w:t>
      </w:r>
      <w:r>
        <w:t xml:space="preserve"> </w:t>
      </w:r>
      <w:r>
        <w:t xml:space="preserve">with locally relevant content — Tshwane municipal COA application procedures, local inspector contact information, Pretoria-specific case studies — would give RFC first-mover advantage in local search results for its own geographic backyard. This is the single highest-opportunity, lowest-competition SEO play available to RFC.</w:t>
      </w:r>
    </w:p>
    <w:p>
      <w:pPr>
        <w:pStyle w:val="BodyText"/>
      </w:pPr>
      <w:r>
        <w:rPr>
          <w:bCs/>
          <w:b/>
        </w:rPr>
        <w:t xml:space="preserve">Recommendation 5: Implement lead generation infrastructure that matches Tier 1 standards.</w:t>
      </w:r>
      <w:r>
        <w:t xml:space="preserve"> </w:t>
      </w:r>
      <w:r>
        <w:t xml:space="preserve">ASC offers free consultations, course bundles, enterprise enquiry forms, and WhatsApp contact options. Entecom provides 61-plus gated eBooks, chat widgets, callback requests, and newsletter signups. RFC currently offers a contact form only</w:t>
      </w:r>
      <w:r>
        <w:t xml:space="preserve"> </w:t>
      </w:r>
      <w:fldSimple w:instr="NOTEREF _Ref_Footnote_3 \h \f">
        <w:r>
          <w:rPr>
            <w:vertAlign w:val="superscript"/>
          </w:rPr>
          <w:t>3</w:t>
        </w:r>
      </w:fldSimple>
      <w:r>
        <w:t xml:space="preserve">. The minimum viable upgrade is to add three mechanisms within 30 days: a free downloadable R638 compliance checklist (PDF, gated behind email capture), a WhatsApp Business click-to-chat button on every page, and a newsletter signup with a monthly regulatory update. These three additions would bring RFC’s lead capture capability from non-existent to competitive without requiring custom development or significant content creation.</w:t>
      </w:r>
      <w:r>
        <w:t xml:space="preserve"> </w:t>
      </w:r>
      <w:r>
        <w:t xml:space="preserve">-e</w:t>
      </w:r>
    </w:p>
    <w:bookmarkEnd w:id="66"/>
    <w:bookmarkEnd w:id="67"/>
    <w:bookmarkEnd w:id="68"/>
    <w:bookmarkStart w:id="85" w:name="seo-strategy-recommendations"/>
    <w:p>
      <w:pPr>
        <w:pStyle w:val="Heading2"/>
      </w:pPr>
      <w:r>
        <w:t xml:space="preserve">3. SEO Strategy &amp; Recommendations</w:t>
      </w:r>
    </w:p>
    <w:p>
      <w:pPr>
        <w:pStyle w:val="FirstParagraph"/>
      </w:pPr>
      <w:r>
        <w:t xml:space="preserve">The competitive analysis conducted in Chapter 2 reveals a fragmented but rapidly maturing digital landscape for food safety training and consulting in South Africa. While ASC Food Safety Consultants has established commanding visibility through a two-site strategy and extensive content marketing, and Entecom leverages a multi-format guidance hub with 61+ downloadable eBooks, RFC’s current digital footprint remains substantially underdeveloped</w:t>
      </w:r>
      <w:r>
        <w:t xml:space="preserve"> </w:t>
      </w:r>
      <w:fldSimple w:instr="NOTEREF _Ref_Footnote_9 \h \f">
        <w:r>
          <w:rPr>
            <w:vertAlign w:val="superscript"/>
          </w:rPr>
          <w:t>9</w:t>
        </w:r>
      </w:fldSimple>
      <w:r>
        <w:t xml:space="preserve"> </w:t>
      </w:r>
      <w:fldSimple w:instr="NOTEREF _Ref_Footnote_36 \h \f">
        <w:r>
          <w:rPr>
            <w:vertAlign w:val="superscript"/>
          </w:rPr>
          <w:t>36</w:t>
        </w:r>
      </w:fldSimple>
      <w:r>
        <w:t xml:space="preserve">. Neither rfcsa.co.za nor rfcacademy.co.za currently maintains a visible blog, city-specific landing pages, or structured schema markup — omissions that directly suppress organic discoverability at the precise moment when South African food businesses are increasingly searching for compliance solutions online.</w:t>
      </w:r>
    </w:p>
    <w:p>
      <w:pPr>
        <w:pStyle w:val="BodyText"/>
      </w:pPr>
      <w:r>
        <w:t xml:space="preserve">This chapter translates the competitor intelligence and keyword research into a comprehensive, prioritised SEO strategy organised around four pillars: keyword targeting that matches genuine search behaviour, on-page and technical improvements that satisfy both user intent and search engine crawling requirements, local SEO that captures geographically constrained commercial intent, and link building that builds domain authority through credible industry associations. Every recommendation is benchmarked against verified competitor activity and prioritised by expected commercial impact.</w:t>
      </w:r>
    </w:p>
    <w:bookmarkStart w:id="77" w:name="keyword-strategy"/>
    <w:p>
      <w:pPr>
        <w:pStyle w:val="Heading3"/>
      </w:pPr>
      <w:r>
        <w:t xml:space="preserve">3.1 Keyword Strategy</w:t>
      </w:r>
    </w:p>
    <w:p>
      <w:pPr>
        <w:pStyle w:val="FirstParagraph"/>
      </w:pPr>
      <w:r>
        <w:t xml:space="preserve">Effective keyword strategy for RFC must operate on three simultaneous levels: capturing high-volume commercial terms where the greatest raw traffic exists, securing long-tail queries where conversion intent is sharpest and competition thinnest, and dominating the local geographic modifiers that connect RFC’s Pretoria-based operations to businesses across Gauteng. The following subsections address each layer in turn.</w:t>
      </w:r>
    </w:p>
    <w:bookmarkStart w:id="72" w:name="high-volume-primary-targets"/>
    <w:p>
      <w:pPr>
        <w:pStyle w:val="Heading4"/>
      </w:pPr>
      <w:r>
        <w:t xml:space="preserve">3.1.1 High-Volume Primary Targets</w:t>
      </w:r>
    </w:p>
    <w:p>
      <w:pPr>
        <w:pStyle w:val="FirstParagraph"/>
      </w:pPr>
      <w:r>
        <w:t xml:space="preserve">The South African food safety training market generates concentrated search volume around a cluster of ten commercially valuable keywords. These terms collectively represent an estimated 3,275 to 5,450 monthly searches and should form the foundational targeting layer for RFC’s homepage, core service pages, and primary landing pages.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Keyword</w:t>
            </w:r>
          </w:p>
        </w:tc>
        <w:tc>
          <w:tcPr/>
          <w:p>
            <w:pPr>
              <w:pStyle w:val="Compact"/>
              <w:jc w:val="left"/>
            </w:pPr>
            <w:r>
              <w:t xml:space="preserve">Monthly Searches (SA)</w:t>
            </w:r>
          </w:p>
        </w:tc>
        <w:tc>
          <w:tcPr/>
          <w:p>
            <w:pPr>
              <w:pStyle w:val="Compact"/>
              <w:jc w:val="left"/>
            </w:pPr>
            <w:r>
              <w:t xml:space="preserve">Competition</w:t>
            </w:r>
          </w:p>
        </w:tc>
        <w:tc>
          <w:tcPr/>
          <w:p>
            <w:pPr>
              <w:pStyle w:val="Compact"/>
              <w:jc w:val="left"/>
            </w:pPr>
            <w:r>
              <w:t xml:space="preserve">Search Intent</w:t>
            </w:r>
          </w:p>
        </w:tc>
        <w:tc>
          <w:tcPr/>
          <w:p>
            <w:pPr>
              <w:pStyle w:val="Compact"/>
              <w:jc w:val="left"/>
            </w:pPr>
            <w:r>
              <w:t xml:space="preserve">Priority</w:t>
            </w:r>
          </w:p>
        </w:tc>
      </w:tr>
      <w:tr>
        <w:tc>
          <w:tcPr/>
          <w:p>
            <w:pPr>
              <w:pStyle w:val="Compact"/>
              <w:jc w:val="left"/>
            </w:pPr>
            <w:r>
              <w:t xml:space="preserve">food safety training South Africa</w:t>
            </w:r>
          </w:p>
        </w:tc>
        <w:tc>
          <w:tcPr/>
          <w:p>
            <w:pPr>
              <w:pStyle w:val="Compact"/>
              <w:jc w:val="left"/>
            </w:pPr>
            <w:r>
              <w:t xml:space="preserve">500–1,000</w:t>
            </w:r>
          </w:p>
        </w:tc>
        <w:tc>
          <w:tcPr/>
          <w:p>
            <w:pPr>
              <w:pStyle w:val="Compact"/>
              <w:jc w:val="left"/>
            </w:pPr>
            <w:r>
              <w:t xml:space="preserve">High</w:t>
            </w:r>
          </w:p>
        </w:tc>
        <w:tc>
          <w:tcPr/>
          <w:p>
            <w:pPr>
              <w:pStyle w:val="Compact"/>
              <w:jc w:val="left"/>
            </w:pPr>
            <w:r>
              <w:t xml:space="preserve">Commercial</w:t>
            </w:r>
          </w:p>
        </w:tc>
        <w:tc>
          <w:tcPr/>
          <w:p>
            <w:pPr>
              <w:pStyle w:val="Compact"/>
              <w:jc w:val="left"/>
            </w:pPr>
            <w:r>
              <w:t xml:space="preserve">Critical</w:t>
            </w:r>
          </w:p>
        </w:tc>
      </w:tr>
      <w:tr>
        <w:tc>
          <w:tcPr/>
          <w:p>
            <w:pPr>
              <w:pStyle w:val="Compact"/>
              <w:jc w:val="left"/>
            </w:pPr>
            <w:r>
              <w:t xml:space="preserve">R638 training</w:t>
            </w:r>
          </w:p>
        </w:tc>
        <w:tc>
          <w:tcPr/>
          <w:p>
            <w:pPr>
              <w:pStyle w:val="Compact"/>
              <w:jc w:val="left"/>
            </w:pPr>
            <w:r>
              <w:t xml:space="preserve">400–800</w:t>
            </w:r>
          </w:p>
        </w:tc>
        <w:tc>
          <w:tcPr/>
          <w:p>
            <w:pPr>
              <w:pStyle w:val="Compact"/>
              <w:jc w:val="left"/>
            </w:pPr>
            <w:r>
              <w:t xml:space="preserve">High</w:t>
            </w:r>
          </w:p>
        </w:tc>
        <w:tc>
          <w:tcPr/>
          <w:p>
            <w:pPr>
              <w:pStyle w:val="Compact"/>
              <w:jc w:val="left"/>
            </w:pPr>
            <w:r>
              <w:t xml:space="preserve">Commercial</w:t>
            </w:r>
          </w:p>
        </w:tc>
        <w:tc>
          <w:tcPr/>
          <w:p>
            <w:pPr>
              <w:pStyle w:val="Compact"/>
              <w:jc w:val="left"/>
            </w:pPr>
            <w:r>
              <w:t xml:space="preserve">Critical</w:t>
            </w:r>
          </w:p>
        </w:tc>
      </w:tr>
      <w:tr>
        <w:tc>
          <w:tcPr/>
          <w:p>
            <w:pPr>
              <w:pStyle w:val="Compact"/>
              <w:jc w:val="left"/>
            </w:pPr>
            <w:r>
              <w:t xml:space="preserve">HACCP training South Africa</w:t>
            </w:r>
          </w:p>
        </w:tc>
        <w:tc>
          <w:tcPr/>
          <w:p>
            <w:pPr>
              <w:pStyle w:val="Compact"/>
              <w:jc w:val="left"/>
            </w:pPr>
            <w:r>
              <w:t xml:space="preserve">300–600</w:t>
            </w:r>
          </w:p>
        </w:tc>
        <w:tc>
          <w:tcPr/>
          <w:p>
            <w:pPr>
              <w:pStyle w:val="Compact"/>
              <w:jc w:val="left"/>
            </w:pPr>
            <w:r>
              <w:t xml:space="preserve">High</w:t>
            </w:r>
          </w:p>
        </w:tc>
        <w:tc>
          <w:tcPr/>
          <w:p>
            <w:pPr>
              <w:pStyle w:val="Compact"/>
              <w:jc w:val="left"/>
            </w:pPr>
            <w:r>
              <w:t xml:space="preserve">Commercial</w:t>
            </w:r>
          </w:p>
        </w:tc>
        <w:tc>
          <w:tcPr/>
          <w:p>
            <w:pPr>
              <w:pStyle w:val="Compact"/>
              <w:jc w:val="left"/>
            </w:pPr>
            <w:r>
              <w:t xml:space="preserve">Critical</w:t>
            </w:r>
          </w:p>
        </w:tc>
      </w:tr>
      <w:tr>
        <w:tc>
          <w:tcPr/>
          <w:p>
            <w:pPr>
              <w:pStyle w:val="Compact"/>
              <w:jc w:val="left"/>
            </w:pPr>
            <w:r>
              <w:t xml:space="preserve">Certificate of Acceptability South Africa</w:t>
            </w:r>
          </w:p>
        </w:tc>
        <w:tc>
          <w:tcPr/>
          <w:p>
            <w:pPr>
              <w:pStyle w:val="Compact"/>
              <w:jc w:val="left"/>
            </w:pPr>
            <w:r>
              <w:t xml:space="preserve">300–600</w:t>
            </w:r>
          </w:p>
        </w:tc>
        <w:tc>
          <w:tcPr/>
          <w:p>
            <w:pPr>
              <w:pStyle w:val="Compact"/>
              <w:jc w:val="left"/>
            </w:pPr>
            <w:r>
              <w:t xml:space="preserve">Low-Medium</w:t>
            </w:r>
          </w:p>
        </w:tc>
        <w:tc>
          <w:tcPr/>
          <w:p>
            <w:pPr>
              <w:pStyle w:val="Compact"/>
              <w:jc w:val="left"/>
            </w:pPr>
            <w:r>
              <w:t xml:space="preserve">Informational/Commercial</w:t>
            </w:r>
          </w:p>
        </w:tc>
        <w:tc>
          <w:tcPr/>
          <w:p>
            <w:pPr>
              <w:pStyle w:val="Compact"/>
              <w:jc w:val="left"/>
            </w:pPr>
            <w:r>
              <w:t xml:space="preserve">Critical</w:t>
            </w:r>
          </w:p>
        </w:tc>
      </w:tr>
      <w:tr>
        <w:tc>
          <w:tcPr/>
          <w:p>
            <w:pPr>
              <w:pStyle w:val="Compact"/>
              <w:jc w:val="left"/>
            </w:pPr>
            <w:r>
              <w:t xml:space="preserve">food safety courses online South Africa</w:t>
            </w:r>
          </w:p>
        </w:tc>
        <w:tc>
          <w:tcPr/>
          <w:p>
            <w:pPr>
              <w:pStyle w:val="Compact"/>
              <w:jc w:val="left"/>
            </w:pPr>
            <w:r>
              <w:t xml:space="preserve">200–400</w:t>
            </w:r>
          </w:p>
        </w:tc>
        <w:tc>
          <w:tcPr/>
          <w:p>
            <w:pPr>
              <w:pStyle w:val="Compact"/>
              <w:jc w:val="left"/>
            </w:pPr>
            <w:r>
              <w:t xml:space="preserve">Medium</w:t>
            </w:r>
          </w:p>
        </w:tc>
        <w:tc>
          <w:tcPr/>
          <w:p>
            <w:pPr>
              <w:pStyle w:val="Compact"/>
              <w:jc w:val="left"/>
            </w:pPr>
            <w:r>
              <w:t xml:space="preserve">Commercial</w:t>
            </w:r>
          </w:p>
        </w:tc>
        <w:tc>
          <w:tcPr/>
          <w:p>
            <w:pPr>
              <w:pStyle w:val="Compact"/>
              <w:jc w:val="left"/>
            </w:pPr>
            <w:r>
              <w:t xml:space="preserve">High</w:t>
            </w:r>
          </w:p>
        </w:tc>
      </w:tr>
      <w:tr>
        <w:tc>
          <w:tcPr/>
          <w:p>
            <w:pPr>
              <w:pStyle w:val="Compact"/>
              <w:jc w:val="left"/>
            </w:pPr>
            <w:r>
              <w:t xml:space="preserve">ISO 22000 certification South Africa</w:t>
            </w:r>
          </w:p>
        </w:tc>
        <w:tc>
          <w:tcPr/>
          <w:p>
            <w:pPr>
              <w:pStyle w:val="Compact"/>
              <w:jc w:val="left"/>
            </w:pPr>
            <w:r>
              <w:t xml:space="preserve">200–400</w:t>
            </w:r>
          </w:p>
        </w:tc>
        <w:tc>
          <w:tcPr/>
          <w:p>
            <w:pPr>
              <w:pStyle w:val="Compact"/>
              <w:jc w:val="left"/>
            </w:pPr>
            <w:r>
              <w:t xml:space="preserve">Medium</w:t>
            </w:r>
          </w:p>
        </w:tc>
        <w:tc>
          <w:tcPr/>
          <w:p>
            <w:pPr>
              <w:pStyle w:val="Compact"/>
              <w:jc w:val="left"/>
            </w:pPr>
            <w:r>
              <w:t xml:space="preserve">Commercial</w:t>
            </w:r>
          </w:p>
        </w:tc>
        <w:tc>
          <w:tcPr/>
          <w:p>
            <w:pPr>
              <w:pStyle w:val="Compact"/>
              <w:jc w:val="left"/>
            </w:pPr>
            <w:r>
              <w:t xml:space="preserve">Medium</w:t>
            </w:r>
          </w:p>
        </w:tc>
      </w:tr>
      <w:tr>
        <w:tc>
          <w:tcPr/>
          <w:p>
            <w:pPr>
              <w:pStyle w:val="Compact"/>
              <w:jc w:val="left"/>
            </w:pPr>
            <w:r>
              <w:t xml:space="preserve">FSSC 22000 training South Africa</w:t>
            </w:r>
          </w:p>
        </w:tc>
        <w:tc>
          <w:tcPr/>
          <w:p>
            <w:pPr>
              <w:pStyle w:val="Compact"/>
              <w:jc w:val="left"/>
            </w:pPr>
            <w:r>
              <w:t xml:space="preserve">150–300</w:t>
            </w:r>
          </w:p>
        </w:tc>
        <w:tc>
          <w:tcPr/>
          <w:p>
            <w:pPr>
              <w:pStyle w:val="Compact"/>
              <w:jc w:val="left"/>
            </w:pPr>
            <w:r>
              <w:t xml:space="preserve">Medium-High</w:t>
            </w:r>
          </w:p>
        </w:tc>
        <w:tc>
          <w:tcPr/>
          <w:p>
            <w:pPr>
              <w:pStyle w:val="Compact"/>
              <w:jc w:val="left"/>
            </w:pPr>
            <w:r>
              <w:t xml:space="preserve">Commercial</w:t>
            </w:r>
          </w:p>
        </w:tc>
        <w:tc>
          <w:tcPr/>
          <w:p>
            <w:pPr>
              <w:pStyle w:val="Compact"/>
              <w:jc w:val="left"/>
            </w:pPr>
            <w:r>
              <w:t xml:space="preserve">High</w:t>
            </w:r>
          </w:p>
        </w:tc>
      </w:tr>
      <w:tr>
        <w:tc>
          <w:tcPr/>
          <w:p>
            <w:pPr>
              <w:pStyle w:val="Compact"/>
              <w:jc w:val="left"/>
            </w:pPr>
            <w:r>
              <w:t xml:space="preserve">food safety consultant South Africa</w:t>
            </w:r>
          </w:p>
        </w:tc>
        <w:tc>
          <w:tcPr/>
          <w:p>
            <w:pPr>
              <w:pStyle w:val="Compact"/>
              <w:jc w:val="left"/>
            </w:pPr>
            <w:r>
              <w:t xml:space="preserve">150–300</w:t>
            </w:r>
          </w:p>
        </w:tc>
        <w:tc>
          <w:tcPr/>
          <w:p>
            <w:pPr>
              <w:pStyle w:val="Compact"/>
              <w:jc w:val="left"/>
            </w:pPr>
            <w:r>
              <w:t xml:space="preserve">Medium</w:t>
            </w:r>
          </w:p>
        </w:tc>
        <w:tc>
          <w:tcPr/>
          <w:p>
            <w:pPr>
              <w:pStyle w:val="Compact"/>
              <w:jc w:val="left"/>
            </w:pPr>
            <w:r>
              <w:t xml:space="preserve">Commercial</w:t>
            </w:r>
          </w:p>
        </w:tc>
        <w:tc>
          <w:tcPr/>
          <w:p>
            <w:pPr>
              <w:pStyle w:val="Compact"/>
              <w:jc w:val="left"/>
            </w:pPr>
            <w:r>
              <w:t xml:space="preserve">High</w:t>
            </w:r>
          </w:p>
        </w:tc>
      </w:tr>
      <w:tr>
        <w:tc>
          <w:tcPr/>
          <w:p>
            <w:pPr>
              <w:pStyle w:val="Compact"/>
              <w:jc w:val="left"/>
            </w:pPr>
            <w:r>
              <w:t xml:space="preserve">food handler training South Africa</w:t>
            </w:r>
          </w:p>
        </w:tc>
        <w:tc>
          <w:tcPr/>
          <w:p>
            <w:pPr>
              <w:pStyle w:val="Compact"/>
              <w:jc w:val="left"/>
            </w:pPr>
            <w:r>
              <w:t xml:space="preserve">150–300</w:t>
            </w:r>
          </w:p>
        </w:tc>
        <w:tc>
          <w:tcPr/>
          <w:p>
            <w:pPr>
              <w:pStyle w:val="Compact"/>
              <w:jc w:val="left"/>
            </w:pPr>
            <w:r>
              <w:t xml:space="preserve">Medium</w:t>
            </w:r>
          </w:p>
        </w:tc>
        <w:tc>
          <w:tcPr/>
          <w:p>
            <w:pPr>
              <w:pStyle w:val="Compact"/>
              <w:jc w:val="left"/>
            </w:pPr>
            <w:r>
              <w:t xml:space="preserve">Commercial</w:t>
            </w:r>
          </w:p>
        </w:tc>
        <w:tc>
          <w:tcPr/>
          <w:p>
            <w:pPr>
              <w:pStyle w:val="Compact"/>
              <w:jc w:val="left"/>
            </w:pPr>
            <w:r>
              <w:t xml:space="preserve">High</w:t>
            </w:r>
          </w:p>
        </w:tc>
      </w:tr>
      <w:tr>
        <w:tc>
          <w:tcPr/>
          <w:p>
            <w:pPr>
              <w:pStyle w:val="Compact"/>
              <w:jc w:val="left"/>
            </w:pPr>
            <w:r>
              <w:t xml:space="preserve">food safety auditor South Africa</w:t>
            </w:r>
          </w:p>
        </w:tc>
        <w:tc>
          <w:tcPr/>
          <w:p>
            <w:pPr>
              <w:pStyle w:val="Compact"/>
              <w:jc w:val="left"/>
            </w:pPr>
            <w:r>
              <w:t xml:space="preserve">100–200</w:t>
            </w:r>
          </w:p>
        </w:tc>
        <w:tc>
          <w:tcPr/>
          <w:p>
            <w:pPr>
              <w:pStyle w:val="Compact"/>
              <w:jc w:val="left"/>
            </w:pPr>
            <w:r>
              <w:t xml:space="preserve">Medium</w:t>
            </w:r>
          </w:p>
        </w:tc>
        <w:tc>
          <w:tcPr/>
          <w:p>
            <w:pPr>
              <w:pStyle w:val="Compact"/>
              <w:jc w:val="left"/>
            </w:pPr>
            <w:r>
              <w:t xml:space="preserve">Commercial</w:t>
            </w:r>
          </w:p>
        </w:tc>
        <w:tc>
          <w:tcPr/>
          <w:p>
            <w:pPr>
              <w:pStyle w:val="Compact"/>
              <w:jc w:val="left"/>
            </w:pPr>
            <w:r>
              <w:t xml:space="preserve">Medium</w:t>
            </w:r>
          </w:p>
        </w:tc>
      </w:tr>
    </w:tbl>
    <w:p>
      <w:pPr>
        <w:pStyle w:val="BodyText"/>
      </w:pPr>
      <w:r>
        <w:t xml:space="preserve">The concentration of search volume around R638-related terms demands particular attention. Regulation R638 of 2018 governs general hygiene requirements for all food premises and the transport of food in South Africa, applying universally from restaurants and spaza shops to large manufacturers</w:t>
      </w:r>
      <w:r>
        <w:t xml:space="preserve"> </w:t>
      </w:r>
      <w:fldSimple w:instr="NOTEREF _Ref_Footnote_39 \h \f">
        <w:r>
          <w:rPr>
            <w:vertAlign w:val="superscript"/>
          </w:rPr>
          <w:t>39</w:t>
        </w:r>
      </w:fldSimple>
      <w:r>
        <w:t xml:space="preserve">. RFC already offers SAATCA-accredited R638 training at R1,600, yet the academy page is not optimised for the primary</w:t>
      </w:r>
      <w:r>
        <w:t xml:space="preserve"> </w:t>
      </w:r>
      <w:r>
        <w:t xml:space="preserve">“</w:t>
      </w:r>
      <w:r>
        <w:t xml:space="preserve">R638 training</w:t>
      </w:r>
      <w:r>
        <w:t xml:space="preserve">”</w:t>
      </w:r>
      <w:r>
        <w:t xml:space="preserve"> </w:t>
      </w:r>
      <w:r>
        <w:t xml:space="preserve">keyword, leaving an estimated 400–800 monthly searches captured almost entirely by ASC (pricing aggressively at R879), Food Safety Matters (blog-optimised with free regulation downloads), and Entecom (premium at R3,393)</w:t>
      </w:r>
      <w:r>
        <w:t xml:space="preserve"> </w:t>
      </w:r>
      <w:fldSimple w:instr="NOTEREF _Ref_Footnote_9 \h \f">
        <w:r>
          <w:rPr>
            <w:vertAlign w:val="superscript"/>
          </w:rPr>
          <w:t>9</w:t>
        </w:r>
      </w:fldSimple>
      <w:r>
        <w:t xml:space="preserve"> </w:t>
      </w:r>
      <w:fldSimple w:instr="NOTEREF _Ref_Footnote_51 \h \f">
        <w:r>
          <w:rPr>
            <w:vertAlign w:val="superscript"/>
          </w:rPr>
          <w:t>51</w:t>
        </w:r>
      </w:fldSimple>
      <w:r>
        <w:t xml:space="preserve"> </w:t>
      </w:r>
      <w:fldSimple w:instr="NOTEREF _Ref_Footnote_36 \h \f">
        <w:r>
          <w:rPr>
            <w:vertAlign w:val="superscript"/>
          </w:rPr>
          <w:t>36</w:t>
        </w:r>
      </w:fldSimple>
      <w:r>
        <w:t xml:space="preserve">.</w:t>
      </w:r>
    </w:p>
    <w:p>
      <w:pPr>
        <w:pStyle w:val="BodyText"/>
      </w:pPr>
      <w:r>
        <w:t xml:space="preserve">The</w:t>
      </w:r>
      <w:r>
        <w:t xml:space="preserve"> </w:t>
      </w:r>
      <w:r>
        <w:t xml:space="preserve">“</w:t>
      </w:r>
      <w:r>
        <w:t xml:space="preserve">Certificate of Acceptability</w:t>
      </w:r>
      <w:r>
        <w:t xml:space="preserve">”</w:t>
      </w:r>
      <w:r>
        <w:t xml:space="preserve"> </w:t>
      </w:r>
      <w:r>
        <w:t xml:space="preserve">keyword cluster presents a different competitive dynamic. Despite generating 300–600 monthly searches, this topic faces lower competition because most established competitors target certified food safety professionals rather than entrepreneurs starting new food businesses</w:t>
      </w:r>
      <w:r>
        <w:t xml:space="preserve"> </w:t>
      </w:r>
      <w:fldSimple w:instr="NOTEREF _Ref_Footnote_51 \h \f">
        <w:r>
          <w:rPr>
            <w:vertAlign w:val="superscript"/>
          </w:rPr>
          <w:t>51</w:t>
        </w:r>
      </w:fldSimple>
      <w:r>
        <w:t xml:space="preserve"> </w:t>
      </w:r>
      <w:fldSimple w:instr="NOTEREF _Ref_Footnote_38 \h \f">
        <w:r>
          <w:rPr>
            <w:vertAlign w:val="superscript"/>
          </w:rPr>
          <w:t>38</w:t>
        </w:r>
      </w:fldSimple>
      <w:r>
        <w:t xml:space="preserve">. Food Safety Matters has made this niche their primary content focus, publishing articles such as</w:t>
      </w:r>
      <w:r>
        <w:t xml:space="preserve"> </w:t>
      </w:r>
      <w:r>
        <w:t xml:space="preserve">“</w:t>
      </w:r>
      <w:r>
        <w:t xml:space="preserve">How to Get your Certificate of Acceptability (COA) in 5 Steps</w:t>
      </w:r>
      <w:r>
        <w:t xml:space="preserve">”</w:t>
      </w:r>
      <w:r>
        <w:t xml:space="preserve"> </w:t>
      </w:r>
      <w:fldSimple w:instr="NOTEREF _Ref_Footnote_51 \h \f">
        <w:r>
          <w:rPr>
            <w:vertAlign w:val="superscript"/>
          </w:rPr>
          <w:t>51</w:t>
        </w:r>
      </w:fldSimple>
      <w:r>
        <w:t xml:space="preserve">. RFC can capture significant share here by creating authoritative COA content that bridges informational intent with a soft conversion path toward R638 training enrollment. The divergence between high-volume, high-competition head terms like</w:t>
      </w:r>
      <w:r>
        <w:t xml:space="preserve"> </w:t>
      </w:r>
      <w:r>
        <w:t xml:space="preserve">“</w:t>
      </w:r>
      <w:r>
        <w:t xml:space="preserve">food safety training South Africa</w:t>
      </w:r>
      <w:r>
        <w:t xml:space="preserve">”</w:t>
      </w:r>
      <w:r>
        <w:t xml:space="preserve"> </w:t>
      </w:r>
      <w:r>
        <w:t xml:space="preserve">and the moderate-competition COA cluster suggests a dual-track approach: pursue the most contested terms through core service pages while building topical authority in lower-competition informational clusters through dedicated blog content.</w:t>
      </w:r>
    </w:p>
    <w:p>
      <w:pPr>
        <w:pStyle w:val="CaptionedFigure"/>
      </w:pPr>
      <w:r>
        <w:drawing>
          <wp:inline>
            <wp:extent cx="5334000" cy="2638094"/>
            <wp:effectExtent b="0" l="0" r="0" t="0"/>
            <wp:docPr descr="RFC Primary Keyword Targets: Search Volume vs. Competition" title="" id="70" name="Picture"/>
            <a:graphic>
              <a:graphicData uri="http://schemas.openxmlformats.org/drawingml/2006/picture">
                <pic:pic>
                  <pic:nvPicPr>
                    <pic:cNvPr descr="rfc_sec03_keyword_chart.png" id="71" name="Picture"/>
                    <pic:cNvPicPr>
                      <a:picLocks noChangeArrowheads="1" noChangeAspect="1"/>
                    </pic:cNvPicPr>
                  </pic:nvPicPr>
                  <pic:blipFill>
                    <a:blip r:embed="rId69"/>
                    <a:stretch>
                      <a:fillRect/>
                    </a:stretch>
                  </pic:blipFill>
                  <pic:spPr bwMode="auto">
                    <a:xfrm>
                      <a:off x="0" y="0"/>
                      <a:ext cx="5334000" cy="2638094"/>
                    </a:xfrm>
                    <a:prstGeom prst="rect">
                      <a:avLst/>
                    </a:prstGeom>
                    <a:noFill/>
                    <a:ln w="9525">
                      <a:noFill/>
                      <a:headEnd/>
                      <a:tailEnd/>
                    </a:ln>
                  </pic:spPr>
                </pic:pic>
              </a:graphicData>
            </a:graphic>
          </wp:inline>
        </w:drawing>
      </w:r>
    </w:p>
    <w:p>
      <w:pPr>
        <w:pStyle w:val="ImageCaption"/>
      </w:pPr>
      <w:r>
        <w:t xml:space="preserve">RFC Primary Keyword Targets: Search Volume vs. Competition</w:t>
      </w:r>
    </w:p>
    <w:bookmarkEnd w:id="72"/>
    <w:bookmarkStart w:id="73" w:name="X82d087c5d827bf3f726adb615f90573f0b189aa"/>
    <w:p>
      <w:pPr>
        <w:pStyle w:val="Heading4"/>
      </w:pPr>
      <w:r>
        <w:t xml:space="preserve">3.1.2 Long-Tail Opportunities with Lower Competition</w:t>
      </w:r>
    </w:p>
    <w:p>
      <w:pPr>
        <w:pStyle w:val="FirstParagraph"/>
      </w:pPr>
      <w:r>
        <w:t xml:space="preserve">Long-tail keywords — queries comprising three or more words with narrower specificity — consistently deliver higher conversion rates than broad head terms because they capture searchers with defined intent. The South African food safety long-tail landscape is remarkably fertile, with many commercially valuable terms showing very low or low competition and no competitor having comprehensively mapped this terrain.</w:t>
      </w:r>
    </w:p>
    <w:p>
      <w:pPr>
        <w:pStyle w:val="BodyText"/>
      </w:pPr>
      <w:r>
        <w:t xml:space="preserve">The FSSC 22000 V7 transition keyword represents the most time-sensitive long-tail opportunity. Foundation FSSC published Version 7 in May 2026, with upgrade audits commencing 1 May 2027 and all certified organisations required to transition within a 12-month window ending 30 April 2028</w:t>
      </w:r>
      <w:r>
        <w:t xml:space="preserve"> </w:t>
      </w:r>
      <w:fldSimple w:instr="NOTEREF _Ref_Footnote_28 \h \f">
        <w:r>
          <w:rPr>
            <w:vertAlign w:val="superscript"/>
          </w:rPr>
          <w:t>28</w:t>
        </w:r>
      </w:fldSimple>
      <w:r>
        <w:t xml:space="preserve"> </w:t>
      </w:r>
      <w:fldSimple w:instr="NOTEREF _Ref_Footnote_30 \h \f">
        <w:r>
          <w:rPr>
            <w:vertAlign w:val="superscript"/>
          </w:rPr>
          <w:t>30</w:t>
        </w:r>
      </w:fldSimple>
      <w:r>
        <w:t xml:space="preserve">. Despite this regulatory deadline, few South African competitors have created dedicated V7 content. ASC’s V7 guide — comprehensive at over 5,000 words — is one of the few authoritative resources</w:t>
      </w:r>
      <w:r>
        <w:t xml:space="preserve"> </w:t>
      </w:r>
      <w:r>
        <w:rPr>
          <w:vertAlign w:val="superscript"/>
        </w:rPr>
        <w:footnoteReference w:id="61"/>
      </w:r>
      <w:r>
        <w:t xml:space="preserve">. RFC’s existing FSSC 22000 expertise positions it to capture the</w:t>
      </w:r>
      <w:r>
        <w:t xml:space="preserve"> </w:t>
      </w:r>
      <w:r>
        <w:t xml:space="preserve">“</w:t>
      </w:r>
      <w:r>
        <w:t xml:space="preserve">FSSC 22000 V7 transition South Africa</w:t>
      </w:r>
      <w:r>
        <w:t xml:space="preserve">”</w:t>
      </w:r>
      <w:r>
        <w:t xml:space="preserve"> </w:t>
      </w:r>
      <w:r>
        <w:t xml:space="preserve">query and its variants (50–100 monthly searches, very low competition) by publishing the first locally focused V7 transition guide.</w:t>
      </w:r>
    </w:p>
    <w:p>
      <w:pPr>
        <w:pStyle w:val="BodyText"/>
      </w:pPr>
      <w:r>
        <w:t xml:space="preserve">The</w:t>
      </w:r>
      <w:r>
        <w:t xml:space="preserve"> </w:t>
      </w:r>
      <w:r>
        <w:t xml:space="preserve">“</w:t>
      </w:r>
      <w:r>
        <w:t xml:space="preserve">R638 compliance checklist PDF</w:t>
      </w:r>
      <w:r>
        <w:t xml:space="preserve">”</w:t>
      </w:r>
      <w:r>
        <w:t xml:space="preserve"> </w:t>
      </w:r>
      <w:r>
        <w:t xml:space="preserve">keyword carries dual intent: the searcher requires a practical compliance tool (informational) but is actively managing food safety compliance (commercial). No competitor currently offers a comprehensive, downloadable R638 checklist as a lead magnet — Food Safety Matters provides the regulation text itself rather than a structured compliance tool</w:t>
      </w:r>
      <w:r>
        <w:t xml:space="preserve"> </w:t>
      </w:r>
      <w:fldSimple w:instr="NOTEREF _Ref_Footnote_51 \h \f">
        <w:r>
          <w:rPr>
            <w:vertAlign w:val="superscript"/>
          </w:rPr>
          <w:t>51</w:t>
        </w:r>
      </w:fldSimple>
      <w:r>
        <w:t xml:space="preserve">. An RFC-branded checklist gated behind email capture could capture 100–200 monthly searches while building a qualified lead database. Other high-priority long-tail targets include</w:t>
      </w:r>
      <w:r>
        <w:t xml:space="preserve"> </w:t>
      </w:r>
      <w:r>
        <w:t xml:space="preserve">“</w:t>
      </w:r>
      <w:r>
        <w:t xml:space="preserve">how to apply for COA South Africa</w:t>
      </w:r>
      <w:r>
        <w:t xml:space="preserve">”</w:t>
      </w:r>
      <w:r>
        <w:t xml:space="preserve"> </w:t>
      </w:r>
      <w:r>
        <w:t xml:space="preserve">(50–100 searches, low competition),</w:t>
      </w:r>
      <w:r>
        <w:t xml:space="preserve"> </w:t>
      </w:r>
      <w:r>
        <w:t xml:space="preserve">“</w:t>
      </w:r>
      <w:r>
        <w:t xml:space="preserve">food safety training Pretoria</w:t>
      </w:r>
      <w:r>
        <w:t xml:space="preserve">”</w:t>
      </w:r>
      <w:r>
        <w:t xml:space="preserve"> </w:t>
      </w:r>
      <w:r>
        <w:t xml:space="preserve">(50–100, low),</w:t>
      </w:r>
      <w:r>
        <w:t xml:space="preserve"> </w:t>
      </w:r>
      <w:r>
        <w:t xml:space="preserve">“</w:t>
      </w:r>
      <w:r>
        <w:t xml:space="preserve">food safety training Johannesburg</w:t>
      </w:r>
      <w:r>
        <w:t xml:space="preserve">”</w:t>
      </w:r>
      <w:r>
        <w:t xml:space="preserve"> </w:t>
      </w:r>
      <w:r>
        <w:t xml:space="preserve">(50–100, low),</w:t>
      </w:r>
      <w:r>
        <w:t xml:space="preserve"> </w:t>
      </w:r>
      <w:r>
        <w:t xml:space="preserve">“</w:t>
      </w:r>
      <w:r>
        <w:t xml:space="preserve">what is Regulation 638</w:t>
      </w:r>
      <w:r>
        <w:t xml:space="preserve">”</w:t>
      </w:r>
      <w:r>
        <w:t xml:space="preserve"> </w:t>
      </w:r>
      <w:r>
        <w:t xml:space="preserve">(100–200, low), and emerging specialisation terms such as</w:t>
      </w:r>
      <w:r>
        <w:t xml:space="preserve"> </w:t>
      </w:r>
      <w:r>
        <w:t xml:space="preserve">“</w:t>
      </w:r>
      <w:r>
        <w:t xml:space="preserve">food defence plan training South Africa</w:t>
      </w:r>
      <w:r>
        <w:t xml:space="preserve">”</w:t>
      </w:r>
      <w:r>
        <w:t xml:space="preserve"> </w:t>
      </w:r>
      <w:r>
        <w:t xml:space="preserve">and</w:t>
      </w:r>
      <w:r>
        <w:t xml:space="preserve"> </w:t>
      </w:r>
      <w:r>
        <w:t xml:space="preserve">“</w:t>
      </w:r>
      <w:r>
        <w:t xml:space="preserve">food fraud mitigation training</w:t>
      </w:r>
      <w:r>
        <w:t xml:space="preserve">”</w:t>
      </w:r>
      <w:r>
        <w:t xml:space="preserve"> </w:t>
      </w:r>
      <w:r>
        <w:t xml:space="preserve">(20–40 searches each, very low competition).</w:t>
      </w:r>
    </w:p>
    <w:bookmarkEnd w:id="73"/>
    <w:bookmarkStart w:id="74" w:name="Xad5b9fcdf6e18a0fc8810c3031c6eabe5d0a82d"/>
    <w:p>
      <w:pPr>
        <w:pStyle w:val="Heading4"/>
      </w:pPr>
      <w:r>
        <w:t xml:space="preserve">3.1.3 Local SEO Keywords for Pretoria, Johannesburg, and Gauteng</w:t>
      </w:r>
    </w:p>
    <w:p>
      <w:pPr>
        <w:pStyle w:val="FirstParagraph"/>
      </w:pPr>
      <w:r>
        <w:t xml:space="preserve">Geographic keyword modifiers transform generic service queries into high-intent local commercial searches. RFC’s local keyword strategy spans three geographic tiers: Pretoria and Johannesburg individually (Tier 1), Gauteng province-level searches (Tier 2), and secondary cities where RFC could deliver virtual or on-site services — Cape Town, Durban, Bloemfontein, and Polokwane (Tier 3).</w:t>
      </w:r>
    </w:p>
    <w:p>
      <w:pPr>
        <w:pStyle w:val="BodyText"/>
      </w:pPr>
      <w:r>
        <w:t xml:space="preserve">Local keyword competition is notably lower than national-level equivalents.</w:t>
      </w:r>
      <w:r>
        <w:t xml:space="preserve"> </w:t>
      </w:r>
      <w:r>
        <w:t xml:space="preserve">“</w:t>
      </w:r>
      <w:r>
        <w:t xml:space="preserve">Food safety training Pretoria</w:t>
      </w:r>
      <w:r>
        <w:t xml:space="preserve">”</w:t>
      </w:r>
      <w:r>
        <w:t xml:space="preserve"> </w:t>
      </w:r>
      <w:r>
        <w:t xml:space="preserve">and</w:t>
      </w:r>
      <w:r>
        <w:t xml:space="preserve"> </w:t>
      </w:r>
      <w:r>
        <w:t xml:space="preserve">“</w:t>
      </w:r>
      <w:r>
        <w:t xml:space="preserve">food safety training Johannesburg</w:t>
      </w:r>
      <w:r>
        <w:t xml:space="preserve">”</w:t>
      </w:r>
      <w:r>
        <w:t xml:space="preserve"> </w:t>
      </w:r>
      <w:r>
        <w:t xml:space="preserve">each generate 50–100 monthly searches but face low competition, primarily because ASC concentrates its local SEO on Gqeberha and Cape Town</w:t>
      </w:r>
      <w:r>
        <w:t xml:space="preserve"> </w:t>
      </w:r>
      <w:fldSimple w:instr="NOTEREF _Ref_Footnote_9 \h \f">
        <w:r>
          <w:rPr>
            <w:vertAlign w:val="superscript"/>
          </w:rPr>
          <w:t>9</w:t>
        </w:r>
      </w:fldSimple>
      <w:r>
        <w:t xml:space="preserve">. This geographic gap creates a first-mover opportunity: RFC can establish dominant local rankings for Pretoria and Johannesburg before ASC or Entecom redirect SEO resources toward Gauteng. City-specific landing pages should be created with genuinely unique content — not templated duplicates — referencing local municipal requirements (such as City of Tshwane Environmental Health Department procedures), nearby landmarks, and Gauteng-specific case studies</w:t>
      </w:r>
      <w:r>
        <w:t xml:space="preserve"> </w:t>
      </w:r>
      <w:r>
        <w:rPr>
          <w:vertAlign w:val="superscript"/>
        </w:rPr>
        <w:footnoteReference w:id="62"/>
      </w:r>
      <w:r>
        <w:t xml:space="preserve">.</w:t>
      </w:r>
    </w:p>
    <w:bookmarkEnd w:id="74"/>
    <w:bookmarkStart w:id="75" w:name="X1137a89810bc92a9ede6624e65af4423a67e0c7"/>
    <w:p>
      <w:pPr>
        <w:pStyle w:val="Heading4"/>
      </w:pPr>
      <w:r>
        <w:t xml:space="preserve">3.1.4 Question-Based Keywords from</w:t>
      </w:r>
      <w:r>
        <w:t xml:space="preserve"> </w:t>
      </w:r>
      <w:r>
        <w:t xml:space="preserve">“</w:t>
      </w:r>
      <w:r>
        <w:t xml:space="preserve">People Also Ask</w:t>
      </w:r>
      <w:r>
        <w:t xml:space="preserve">”</w:t>
      </w:r>
    </w:p>
    <w:p>
      <w:pPr>
        <w:pStyle w:val="FirstParagraph"/>
      </w:pPr>
      <w:r>
        <w:t xml:space="preserve">Google’s</w:t>
      </w:r>
      <w:r>
        <w:t xml:space="preserve"> </w:t>
      </w:r>
      <w:r>
        <w:t xml:space="preserve">“</w:t>
      </w:r>
      <w:r>
        <w:t xml:space="preserve">People Also Ask</w:t>
      </w:r>
      <w:r>
        <w:t xml:space="preserve">”</w:t>
      </w:r>
      <w:r>
        <w:t xml:space="preserve"> </w:t>
      </w:r>
      <w:r>
        <w:t xml:space="preserve">feature generates question-based rich snippets that occupy prominent search results page real estate. Targeting these question keywords captures featured snippet positions that build brand authority and funnels informationally motivated searchers toward RFC’s commercial offerings.</w:t>
      </w:r>
    </w:p>
    <w:p>
      <w:pPr>
        <w:pStyle w:val="BodyText"/>
      </w:pPr>
      <w:r>
        <w:t xml:space="preserve">Fifteen high-priority question-based queries have been identified:</w:t>
      </w:r>
      <w:r>
        <w:t xml:space="preserve"> </w:t>
      </w:r>
      <w:r>
        <w:t xml:space="preserve">“</w:t>
      </w:r>
      <w:r>
        <w:t xml:space="preserve">What is Regulation R638 in South Africa?</w:t>
      </w:r>
      <w:r>
        <w:t xml:space="preserve">”</w:t>
      </w:r>
      <w:r>
        <w:t xml:space="preserve">;</w:t>
      </w:r>
      <w:r>
        <w:t xml:space="preserve"> </w:t>
      </w:r>
      <w:r>
        <w:t xml:space="preserve">“</w:t>
      </w:r>
      <w:r>
        <w:t xml:space="preserve">How do I apply for a Certificate of Acceptability?</w:t>
      </w:r>
      <w:r>
        <w:t xml:space="preserve">”</w:t>
      </w:r>
      <w:r>
        <w:t xml:space="preserve">;</w:t>
      </w:r>
      <w:r>
        <w:t xml:space="preserve"> </w:t>
      </w:r>
      <w:r>
        <w:t xml:space="preserve">“</w:t>
      </w:r>
      <w:r>
        <w:t xml:space="preserve">What training is required for food handlers in South Africa?</w:t>
      </w:r>
      <w:r>
        <w:t xml:space="preserve">”</w:t>
      </w:r>
      <w:r>
        <w:t xml:space="preserve">;</w:t>
      </w:r>
      <w:r>
        <w:t xml:space="preserve"> </w:t>
      </w:r>
      <w:r>
        <w:t xml:space="preserve">“</w:t>
      </w:r>
      <w:r>
        <w:t xml:space="preserve">How much does HACCP training cost in South Africa?</w:t>
      </w:r>
      <w:r>
        <w:t xml:space="preserve">”</w:t>
      </w:r>
      <w:r>
        <w:t xml:space="preserve">;</w:t>
      </w:r>
      <w:r>
        <w:t xml:space="preserve"> </w:t>
      </w:r>
      <w:r>
        <w:t xml:space="preserve">“</w:t>
      </w:r>
      <w:r>
        <w:t xml:space="preserve">What is the difference between HACCP and FSSC 22000?</w:t>
      </w:r>
      <w:r>
        <w:t xml:space="preserve">”</w:t>
      </w:r>
      <w:r>
        <w:t xml:space="preserve">;</w:t>
      </w:r>
      <w:r>
        <w:t xml:space="preserve"> </w:t>
      </w:r>
      <w:r>
        <w:t xml:space="preserve">“</w:t>
      </w:r>
      <w:r>
        <w:t xml:space="preserve">Who needs R638 training?</w:t>
      </w:r>
      <w:r>
        <w:t xml:space="preserve">”</w:t>
      </w:r>
      <w:r>
        <w:t xml:space="preserve">;</w:t>
      </w:r>
      <w:r>
        <w:t xml:space="preserve"> </w:t>
      </w:r>
      <w:r>
        <w:t xml:space="preserve">“</w:t>
      </w:r>
      <w:r>
        <w:t xml:space="preserve">How long does ISO 22000 certification take?</w:t>
      </w:r>
      <w:r>
        <w:t xml:space="preserve">”</w:t>
      </w:r>
      <w:r>
        <w:t xml:space="preserve">;</w:t>
      </w:r>
      <w:r>
        <w:t xml:space="preserve"> </w:t>
      </w:r>
      <w:r>
        <w:t xml:space="preserve">“</w:t>
      </w:r>
      <w:r>
        <w:t xml:space="preserve">What is a food safety auditor?</w:t>
      </w:r>
      <w:r>
        <w:t xml:space="preserve">”</w:t>
      </w:r>
      <w:r>
        <w:t xml:space="preserve">;</w:t>
      </w:r>
      <w:r>
        <w:t xml:space="preserve"> </w:t>
      </w:r>
      <w:r>
        <w:t xml:space="preserve">“</w:t>
      </w:r>
      <w:r>
        <w:t xml:space="preserve">How do I start a food business in South Africa?</w:t>
      </w:r>
      <w:r>
        <w:t xml:space="preserve">”</w:t>
      </w:r>
      <w:r>
        <w:t xml:space="preserve">;</w:t>
      </w:r>
      <w:r>
        <w:t xml:space="preserve"> </w:t>
      </w:r>
      <w:r>
        <w:t xml:space="preserve">“</w:t>
      </w:r>
      <w:r>
        <w:t xml:space="preserve">What are the 7 principles of HACCP?</w:t>
      </w:r>
      <w:r>
        <w:t xml:space="preserve">”</w:t>
      </w:r>
      <w:r>
        <w:t xml:space="preserve">;</w:t>
      </w:r>
      <w:r>
        <w:t xml:space="preserve"> </w:t>
      </w:r>
      <w:r>
        <w:t xml:space="preserve">“</w:t>
      </w:r>
      <w:r>
        <w:t xml:space="preserve">What is food safety culture?</w:t>
      </w:r>
      <w:r>
        <w:t xml:space="preserve">”</w:t>
      </w:r>
      <w:r>
        <w:t xml:space="preserve">;</w:t>
      </w:r>
      <w:r>
        <w:t xml:space="preserve"> </w:t>
      </w:r>
      <w:r>
        <w:t xml:space="preserve">“</w:t>
      </w:r>
      <w:r>
        <w:t xml:space="preserve">What is food defence and food fraud?</w:t>
      </w:r>
      <w:r>
        <w:t xml:space="preserve">”</w:t>
      </w:r>
      <w:r>
        <w:t xml:space="preserve">;</w:t>
      </w:r>
      <w:r>
        <w:t xml:space="preserve"> </w:t>
      </w:r>
      <w:r>
        <w:t xml:space="preserve">“</w:t>
      </w:r>
      <w:r>
        <w:t xml:space="preserve">What is GLOBALG.A.P certification?</w:t>
      </w:r>
      <w:r>
        <w:t xml:space="preserve">”</w:t>
      </w:r>
      <w:r>
        <w:t xml:space="preserve">;</w:t>
      </w:r>
      <w:r>
        <w:t xml:space="preserve"> </w:t>
      </w:r>
      <w:r>
        <w:t xml:space="preserve">“</w:t>
      </w:r>
      <w:r>
        <w:t xml:space="preserve">How often should food safety training be done?</w:t>
      </w:r>
      <w:r>
        <w:t xml:space="preserve">”</w:t>
      </w:r>
      <w:r>
        <w:t xml:space="preserve">; and</w:t>
      </w:r>
      <w:r>
        <w:t xml:space="preserve"> </w:t>
      </w:r>
      <w:r>
        <w:t xml:space="preserve">“</w:t>
      </w:r>
      <w:r>
        <w:t xml:space="preserve">What are the requirements for a food premises in South Africa?</w:t>
      </w:r>
      <w:r>
        <w:t xml:space="preserve">”</w:t>
      </w:r>
      <w:r>
        <w:t xml:space="preserve">. These questions map to distinct content formats: pricing comparisons require comprehensive guides, definitional queries suit FAQ schema markup for rich snippets, and comparison questions (</w:t>
      </w:r>
      <w:r>
        <w:t xml:space="preserve">“</w:t>
      </w:r>
      <w:r>
        <w:t xml:space="preserve">HACCP vs FSSC 22000</w:t>
      </w:r>
      <w:r>
        <w:t xml:space="preserve">”</w:t>
      </w:r>
      <w:r>
        <w:t xml:space="preserve">) demand structured tables that position RFC’s training portfolio regardless of which standard the reader ultimately needs. ASC has already captured several through 3,000–5,000 word guides with dedicated FAQ sections</w:t>
      </w:r>
      <w:r>
        <w:t xml:space="preserve"> </w:t>
      </w:r>
      <w:fldSimple w:instr="NOTEREF _Ref_Footnote_9 \h \f">
        <w:r>
          <w:rPr>
            <w:vertAlign w:val="superscript"/>
          </w:rPr>
          <w:t>9</w:t>
        </w:r>
      </w:fldSimple>
      <w:r>
        <w:t xml:space="preserve">; RFC can differentiate by incorporating local Pretoria and Gauteng context.</w:t>
      </w:r>
    </w:p>
    <w:bookmarkEnd w:id="75"/>
    <w:bookmarkStart w:id="76" w:name="content-cluster-strategy"/>
    <w:p>
      <w:pPr>
        <w:pStyle w:val="Heading4"/>
      </w:pPr>
      <w:r>
        <w:t xml:space="preserve">3.1.5 Content Cluster Strategy</w:t>
      </w:r>
    </w:p>
    <w:p>
      <w:pPr>
        <w:pStyle w:val="FirstParagraph"/>
      </w:pPr>
      <w:r>
        <w:t xml:space="preserve">A content cluster architecture organises related articles around authoritative pillar pages, signalling topical depth to search engines and creating internal linking pathways that distribute link equity. Based on the keyword research, RFC should build five pillar content clusters, each anchored by a comprehensive guide page and supported by four to six cluster articles targeting specific long-tail keywords.</w:t>
      </w:r>
    </w:p>
    <w:p>
      <w:pPr>
        <w:pStyle w:val="BodyText"/>
      </w:pPr>
      <w:r>
        <w:t xml:space="preserve">Pillar 1 addresses R638 and Certificate of Acceptability compliance — the highest-traffic opportunity. The pillar page</w:t>
      </w:r>
      <w:r>
        <w:t xml:space="preserve"> </w:t>
      </w:r>
      <w:r>
        <w:t xml:space="preserve">“</w:t>
      </w:r>
      <w:r>
        <w:t xml:space="preserve">The Complete Guide to Regulation R638 Compliance in South Africa</w:t>
      </w:r>
      <w:r>
        <w:t xml:space="preserve">”</w:t>
      </w:r>
      <w:r>
        <w:t xml:space="preserve"> </w:t>
      </w:r>
      <w:r>
        <w:t xml:space="preserve">would be supported by cluster articles on COA applications by city, R638 training requirements for persons in charge, a downloadable compliance checklist, and how to prepare for municipal health inspections. This pillar alone could capture an estimated 800–1,400 monthly searches. Pillar 2 centres on HACCP training, Pillar 3 on FSSC 22000 and ISO 22000 certification (with the FSSC 22000 V7 transition guide serving as anchor content during the 2026–2028 transition window</w:t>
      </w:r>
      <w:r>
        <w:t xml:space="preserve"> </w:t>
      </w:r>
      <w:fldSimple w:instr="NOTEREF _Ref_Footnote_28 \h \f">
        <w:r>
          <w:rPr>
            <w:vertAlign w:val="superscript"/>
          </w:rPr>
          <w:t>28</w:t>
        </w:r>
      </w:fldSimple>
      <w:r>
        <w:t xml:space="preserve">), Pillar 4 on audience-specific food safety requirements for restaurants, spaza shops, school kitchens and catering businesses, and Pillar 5 on emerging specialisations including food defence, food fraud, VACCP, TACCP, and food safety culture.</w:t>
      </w:r>
    </w:p>
    <w:p>
      <w:pPr>
        <w:pStyle w:val="BodyText"/>
      </w:pPr>
      <w:r>
        <w:t xml:space="preserve">Implemented over six months with two to four articles published monthly, this architecture would generate 40–50 new indexed pages. For context, ASC’s articles section with in-depth guides and learning pathways enables page-one rankings for virtually every major food safety training keyword in South Africa</w:t>
      </w:r>
      <w:r>
        <w:t xml:space="preserve"> </w:t>
      </w:r>
      <w:fldSimple w:instr="NOTEREF _Ref_Footnote_9 \h \f">
        <w:r>
          <w:rPr>
            <w:vertAlign w:val="superscript"/>
          </w:rPr>
          <w:t>9</w:t>
        </w:r>
      </w:fldSimple>
      <w:r>
        <w:t xml:space="preserve">, while Entecom’s 46+ articles and 61+ eBooks drive consistent organic traffic through regular indexing opportunities</w:t>
      </w:r>
      <w:r>
        <w:t xml:space="preserve"> </w:t>
      </w:r>
      <w:fldSimple w:instr="NOTEREF _Ref_Footnote_36 \h \f">
        <w:r>
          <w:rPr>
            <w:vertAlign w:val="superscript"/>
          </w:rPr>
          <w:t>36</w:t>
        </w:r>
      </w:fldSimple>
      <w:r>
        <w:t xml:space="preserve">. RFC’s absence of any blog or resources section represents the single largest gap in its current SEO profile.</w:t>
      </w:r>
    </w:p>
    <w:bookmarkEnd w:id="76"/>
    <w:bookmarkEnd w:id="77"/>
    <w:bookmarkStart w:id="79" w:name="on-page-seo-improvements"/>
    <w:p>
      <w:pPr>
        <w:pStyle w:val="Heading3"/>
      </w:pPr>
      <w:r>
        <w:t xml:space="preserve">3.2 On-Page SEO Improvements</w:t>
      </w:r>
    </w:p>
    <w:p>
      <w:pPr>
        <w:pStyle w:val="FirstParagraph"/>
      </w:pPr>
      <w:r>
        <w:t xml:space="preserve">On-page SEO encompasses every directly controllable element that can improve search visibility and user experience. The analysis of RFC’s websites against competitor best practices reveals multiple deficiencies that suppress rankings regardless of content quality.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Implementation Detail</w:t>
            </w:r>
          </w:p>
        </w:tc>
        <w:tc>
          <w:tcPr/>
          <w:p>
            <w:pPr>
              <w:pStyle w:val="Compact"/>
              <w:jc w:val="left"/>
            </w:pPr>
            <w:r>
              <w:t xml:space="preserve">Expected Impact</w:t>
            </w:r>
          </w:p>
        </w:tc>
      </w:tr>
      <w:tr>
        <w:tc>
          <w:tcPr/>
          <w:p>
            <w:pPr>
              <w:pStyle w:val="Compact"/>
              <w:jc w:val="left"/>
            </w:pPr>
            <w:r>
              <w:t xml:space="preserve">Critical</w:t>
            </w:r>
          </w:p>
        </w:tc>
        <w:tc>
          <w:tcPr/>
          <w:p>
            <w:pPr>
              <w:pStyle w:val="Compact"/>
              <w:jc w:val="left"/>
            </w:pPr>
            <w:r>
              <w:t xml:space="preserve">Launch blog/content hub</w:t>
            </w:r>
          </w:p>
        </w:tc>
        <w:tc>
          <w:tcPr/>
          <w:p>
            <w:pPr>
              <w:pStyle w:val="Compact"/>
              <w:jc w:val="left"/>
            </w:pPr>
            <w:r>
              <w:t xml:space="preserve">Create /blog or /resources on rfcsa.co.za; publish 2–4 articles/month targeting cluster keywords</w:t>
            </w:r>
          </w:p>
        </w:tc>
        <w:tc>
          <w:tcPr/>
          <w:p>
            <w:pPr>
              <w:pStyle w:val="Compact"/>
              <w:jc w:val="left"/>
            </w:pPr>
            <w:r>
              <w:t xml:space="preserve">Highest — addresses single largest gap vs. competitors</w:t>
            </w:r>
          </w:p>
        </w:tc>
      </w:tr>
      <w:tr>
        <w:tc>
          <w:tcPr/>
          <w:p>
            <w:pPr>
              <w:pStyle w:val="Compact"/>
              <w:jc w:val="left"/>
            </w:pPr>
            <w:r>
              <w:t xml:space="preserve">Critical</w:t>
            </w:r>
          </w:p>
        </w:tc>
        <w:tc>
          <w:tcPr/>
          <w:p>
            <w:pPr>
              <w:pStyle w:val="Compact"/>
              <w:jc w:val="left"/>
            </w:pPr>
            <w:r>
              <w:t xml:space="preserve">Create city landing pages</w:t>
            </w:r>
          </w:p>
        </w:tc>
        <w:tc>
          <w:tcPr/>
          <w:p>
            <w:pPr>
              <w:pStyle w:val="Compact"/>
              <w:jc w:val="left"/>
            </w:pPr>
            <w:r>
              <w:t xml:space="preserve">Build pages for Pretoria, Johannesburg, Cape Town, Durban, Bloemfontein with unique local content</w:t>
            </w:r>
          </w:p>
        </w:tc>
        <w:tc>
          <w:tcPr/>
          <w:p>
            <w:pPr>
              <w:pStyle w:val="Compact"/>
              <w:jc w:val="left"/>
            </w:pPr>
            <w:r>
              <w:t xml:space="preserve">High — captures local commercial intent in under-served markets</w:t>
            </w:r>
          </w:p>
        </w:tc>
      </w:tr>
      <w:tr>
        <w:tc>
          <w:tcPr/>
          <w:p>
            <w:pPr>
              <w:pStyle w:val="Compact"/>
              <w:jc w:val="left"/>
            </w:pPr>
            <w:r>
              <w:t xml:space="preserve">High</w:t>
            </w:r>
          </w:p>
        </w:tc>
        <w:tc>
          <w:tcPr/>
          <w:p>
            <w:pPr>
              <w:pStyle w:val="Compact"/>
              <w:jc w:val="left"/>
            </w:pPr>
            <w:r>
              <w:t xml:space="preserve">Optimise page titles</w:t>
            </w:r>
          </w:p>
        </w:tc>
        <w:tc>
          <w:tcPr/>
          <w:p>
            <w:pPr>
              <w:pStyle w:val="Compact"/>
              <w:jc w:val="left"/>
            </w:pPr>
            <w:r>
              <w:t xml:space="preserve">Format:</w:t>
            </w:r>
            <w:r>
              <w:t xml:space="preserve"> </w:t>
            </w:r>
            <w:r>
              <w:t xml:space="preserve">“</w:t>
            </w:r>
            <w:r>
              <w:t xml:space="preserve">[Service] | [City] | RFC</w:t>
            </w:r>
            <w:r>
              <w:t xml:space="preserve">”</w:t>
            </w:r>
            <w:r>
              <w:t xml:space="preserve"> </w:t>
            </w:r>
            <w:r>
              <w:t xml:space="preserve">— e.g.,</w:t>
            </w:r>
            <w:r>
              <w:t xml:space="preserve"> </w:t>
            </w:r>
            <w:r>
              <w:t xml:space="preserve">“</w:t>
            </w:r>
            <w:r>
              <w:t xml:space="preserve">HACCP Training Pretoria | SAATCA Accredited | RFC</w:t>
            </w:r>
            <w:r>
              <w:t xml:space="preserve">”</w:t>
            </w:r>
          </w:p>
        </w:tc>
        <w:tc>
          <w:tcPr/>
          <w:p>
            <w:pPr>
              <w:pStyle w:val="Compact"/>
              <w:jc w:val="left"/>
            </w:pPr>
            <w:r>
              <w:t xml:space="preserve">High — improves click-through rates and ranking relevance</w:t>
            </w:r>
          </w:p>
        </w:tc>
      </w:tr>
      <w:tr>
        <w:tc>
          <w:tcPr/>
          <w:p>
            <w:pPr>
              <w:pStyle w:val="Compact"/>
              <w:jc w:val="left"/>
            </w:pPr>
            <w:r>
              <w:t xml:space="preserve">High</w:t>
            </w:r>
          </w:p>
        </w:tc>
        <w:tc>
          <w:tcPr/>
          <w:p>
            <w:pPr>
              <w:pStyle w:val="Compact"/>
              <w:jc w:val="left"/>
            </w:pPr>
            <w:r>
              <w:t xml:space="preserve">Implement FAQ schema markup</w:t>
            </w:r>
          </w:p>
        </w:tc>
        <w:tc>
          <w:tcPr/>
          <w:p>
            <w:pPr>
              <w:pStyle w:val="Compact"/>
              <w:jc w:val="left"/>
            </w:pPr>
            <w:r>
              <w:t xml:space="preserve">Add FAQPage structured data to all service pages; target rich snippet display</w:t>
            </w:r>
          </w:p>
        </w:tc>
        <w:tc>
          <w:tcPr/>
          <w:p>
            <w:pPr>
              <w:pStyle w:val="Compact"/>
              <w:jc w:val="left"/>
            </w:pPr>
            <w:r>
              <w:t xml:space="preserve">Medium-High — increases SERP visibility</w:t>
            </w:r>
          </w:p>
        </w:tc>
      </w:tr>
      <w:tr>
        <w:tc>
          <w:tcPr/>
          <w:p>
            <w:pPr>
              <w:pStyle w:val="Compact"/>
              <w:jc w:val="left"/>
            </w:pPr>
            <w:r>
              <w:t xml:space="preserve">High</w:t>
            </w:r>
          </w:p>
        </w:tc>
        <w:tc>
          <w:tcPr/>
          <w:p>
            <w:pPr>
              <w:pStyle w:val="Compact"/>
              <w:jc w:val="left"/>
            </w:pPr>
            <w:r>
              <w:t xml:space="preserve">Write meta descriptions</w:t>
            </w:r>
          </w:p>
        </w:tc>
        <w:tc>
          <w:tcPr/>
          <w:p>
            <w:pPr>
              <w:pStyle w:val="Compact"/>
              <w:jc w:val="left"/>
            </w:pPr>
            <w:r>
              <w:t xml:space="preserve">Compelling 155-character descriptions with CTAs for all indexed pages</w:t>
            </w:r>
          </w:p>
        </w:tc>
        <w:tc>
          <w:tcPr/>
          <w:p>
            <w:pPr>
              <w:pStyle w:val="Compact"/>
              <w:jc w:val="left"/>
            </w:pPr>
            <w:r>
              <w:t xml:space="preserve">Medium — improves CTR from SERPs</w:t>
            </w:r>
          </w:p>
        </w:tc>
      </w:tr>
      <w:tr>
        <w:tc>
          <w:tcPr/>
          <w:p>
            <w:pPr>
              <w:pStyle w:val="Compact"/>
              <w:jc w:val="left"/>
            </w:pPr>
            <w:r>
              <w:t xml:space="preserve">High</w:t>
            </w:r>
          </w:p>
        </w:tc>
        <w:tc>
          <w:tcPr/>
          <w:p>
            <w:pPr>
              <w:pStyle w:val="Compact"/>
              <w:jc w:val="left"/>
            </w:pPr>
            <w:r>
              <w:t xml:space="preserve">Build internal linking structure</w:t>
            </w:r>
          </w:p>
        </w:tc>
        <w:tc>
          <w:tcPr/>
          <w:p>
            <w:pPr>
              <w:pStyle w:val="Compact"/>
              <w:jc w:val="left"/>
            </w:pPr>
            <w:r>
              <w:t xml:space="preserve">Cross-link service pages to related academy courses and resources</w:t>
            </w:r>
          </w:p>
        </w:tc>
        <w:tc>
          <w:tcPr/>
          <w:p>
            <w:pPr>
              <w:pStyle w:val="Compact"/>
              <w:jc w:val="left"/>
            </w:pPr>
            <w:r>
              <w:t xml:space="preserve">Medium — distributes link equity</w:t>
            </w:r>
          </w:p>
        </w:tc>
      </w:tr>
      <w:tr>
        <w:tc>
          <w:tcPr/>
          <w:p>
            <w:pPr>
              <w:pStyle w:val="Compact"/>
              <w:jc w:val="left"/>
            </w:pPr>
            <w:r>
              <w:t xml:space="preserve">High</w:t>
            </w:r>
          </w:p>
        </w:tc>
        <w:tc>
          <w:tcPr/>
          <w:p>
            <w:pPr>
              <w:pStyle w:val="Compact"/>
              <w:jc w:val="left"/>
            </w:pPr>
            <w:r>
              <w:t xml:space="preserve">Fix heading hierarchy</w:t>
            </w:r>
          </w:p>
        </w:tc>
        <w:tc>
          <w:tcPr/>
          <w:p>
            <w:pPr>
              <w:pStyle w:val="Compact"/>
              <w:jc w:val="left"/>
            </w:pPr>
            <w:r>
              <w:t xml:space="preserve">Ensure proper H1/H2/H3 structure with keyword inclusion on every page</w:t>
            </w:r>
          </w:p>
        </w:tc>
        <w:tc>
          <w:tcPr/>
          <w:p>
            <w:pPr>
              <w:pStyle w:val="Compact"/>
              <w:jc w:val="left"/>
            </w:pPr>
            <w:r>
              <w:t xml:space="preserve">Medium — improves crawlability</w:t>
            </w:r>
          </w:p>
        </w:tc>
      </w:tr>
      <w:tr>
        <w:tc>
          <w:tcPr/>
          <w:p>
            <w:pPr>
              <w:pStyle w:val="Compact"/>
              <w:jc w:val="left"/>
            </w:pPr>
            <w:r>
              <w:t xml:space="preserve">Medium</w:t>
            </w:r>
          </w:p>
        </w:tc>
        <w:tc>
          <w:tcPr/>
          <w:p>
            <w:pPr>
              <w:pStyle w:val="Compact"/>
              <w:jc w:val="left"/>
            </w:pPr>
            <w:r>
              <w:t xml:space="preserve">Add descriptive alt text</w:t>
            </w:r>
          </w:p>
        </w:tc>
        <w:tc>
          <w:tcPr/>
          <w:p>
            <w:pPr>
              <w:pStyle w:val="Compact"/>
              <w:jc w:val="left"/>
            </w:pPr>
            <w:r>
              <w:t xml:space="preserve">Keyword-inclusive alt text for all images across both domains</w:t>
            </w:r>
          </w:p>
        </w:tc>
        <w:tc>
          <w:tcPr/>
          <w:p>
            <w:pPr>
              <w:pStyle w:val="Compact"/>
              <w:jc w:val="left"/>
            </w:pPr>
            <w:r>
              <w:t xml:space="preserve">Low-Medium — image search visibility</w:t>
            </w:r>
          </w:p>
        </w:tc>
      </w:tr>
      <w:tr>
        <w:tc>
          <w:tcPr/>
          <w:p>
            <w:pPr>
              <w:pStyle w:val="Compact"/>
              <w:jc w:val="left"/>
            </w:pPr>
            <w:r>
              <w:t xml:space="preserve">Medium</w:t>
            </w:r>
          </w:p>
        </w:tc>
        <w:tc>
          <w:tcPr/>
          <w:p>
            <w:pPr>
              <w:pStyle w:val="Compact"/>
              <w:jc w:val="left"/>
            </w:pPr>
            <w:r>
              <w:t xml:space="preserve">Create service silos</w:t>
            </w:r>
          </w:p>
        </w:tc>
        <w:tc>
          <w:tcPr/>
          <w:p>
            <w:pPr>
              <w:pStyle w:val="Compact"/>
              <w:jc w:val="left"/>
            </w:pPr>
            <w:r>
              <w:t xml:space="preserve">Group content under /training/, /consulting/, /auditing/, /resources/ paths</w:t>
            </w:r>
          </w:p>
        </w:tc>
        <w:tc>
          <w:tcPr/>
          <w:p>
            <w:pPr>
              <w:pStyle w:val="Compact"/>
              <w:jc w:val="left"/>
            </w:pPr>
            <w:r>
              <w:t xml:space="preserve">Medium — improves site architecture</w:t>
            </w:r>
          </w:p>
        </w:tc>
      </w:tr>
      <w:tr>
        <w:tc>
          <w:tcPr/>
          <w:p>
            <w:pPr>
              <w:pStyle w:val="Compact"/>
              <w:jc w:val="left"/>
            </w:pPr>
            <w:r>
              <w:t xml:space="preserve">Medium</w:t>
            </w:r>
          </w:p>
        </w:tc>
        <w:tc>
          <w:tcPr/>
          <w:p>
            <w:pPr>
              <w:pStyle w:val="Compact"/>
              <w:jc w:val="left"/>
            </w:pPr>
            <w:r>
              <w:t xml:space="preserve">Add breadcrumb navigation</w:t>
            </w:r>
          </w:p>
        </w:tc>
        <w:tc>
          <w:tcPr/>
          <w:p>
            <w:pPr>
              <w:pStyle w:val="Compact"/>
              <w:jc w:val="left"/>
            </w:pPr>
            <w:r>
              <w:t xml:space="preserve">Schema-compatible breadcrumbs for all pages</w:t>
            </w:r>
          </w:p>
        </w:tc>
        <w:tc>
          <w:tcPr/>
          <w:p>
            <w:pPr>
              <w:pStyle w:val="Compact"/>
              <w:jc w:val="left"/>
            </w:pPr>
            <w:r>
              <w:t xml:space="preserve">Low-Medium — improves UX</w:t>
            </w:r>
          </w:p>
        </w:tc>
      </w:tr>
    </w:tbl>
    <w:p>
      <w:pPr>
        <w:pStyle w:val="BodyText"/>
      </w:pPr>
      <w:r>
        <w:t xml:space="preserve">The creation of a blog or content hub is the most consequential on-page action. ASC’s ascfoodsafety.com maintains an articles section with in-depth guides averaging 2,000–5,000 words, related article cross-linking, and content organised in learning pathways from basic food handler to advanced FSSC 22000 certification</w:t>
      </w:r>
      <w:r>
        <w:t xml:space="preserve"> </w:t>
      </w:r>
      <w:fldSimple w:instr="NOTEREF _Ref_Footnote_9 \h \f">
        <w:r>
          <w:rPr>
            <w:vertAlign w:val="superscript"/>
          </w:rPr>
          <w:t>9</w:t>
        </w:r>
      </w:fldSimple>
      <w:r>
        <w:t xml:space="preserve">. Entecom’s guidance hub publishes across 46+ articles, 61+ eBooks, 11+ podcasts, and 5+ webinars, with the latest updates appearing as recently as April 2026</w:t>
      </w:r>
      <w:r>
        <w:t xml:space="preserve"> </w:t>
      </w:r>
      <w:fldSimple w:instr="NOTEREF _Ref_Footnote_36 \h \f">
        <w:r>
          <w:rPr>
            <w:vertAlign w:val="superscript"/>
          </w:rPr>
          <w:t>36</w:t>
        </w:r>
      </w:fldSimple>
      <w:r>
        <w:t xml:space="preserve">. RFC’s complete absence of blog content means it cannot participate in the informational keyword ecosystem, cannot earn featured snippets, and misses the repeated indexing opportunities that fresh content triggers. The blog should launch with four pillar articles (one each for Pillars 1–4 from Section 3.1.5) at 2,000+ words each, with two to four articles published monthly thereafter.</w:t>
      </w:r>
    </w:p>
    <w:p>
      <w:pPr>
        <w:pStyle w:val="BodyText"/>
      </w:pPr>
      <w:r>
        <w:t xml:space="preserve">City landing pages address the second most significant gap. RFC currently lacks geographically specific service pages, meaning it cannot rank for the 50–100 monthly searches each for</w:t>
      </w:r>
      <w:r>
        <w:t xml:space="preserve"> </w:t>
      </w:r>
      <w:r>
        <w:t xml:space="preserve">“</w:t>
      </w:r>
      <w:r>
        <w:t xml:space="preserve">food safety training Pretoria</w:t>
      </w:r>
      <w:r>
        <w:t xml:space="preserve">”</w:t>
      </w:r>
      <w:r>
        <w:t xml:space="preserve"> </w:t>
      </w:r>
      <w:r>
        <w:t xml:space="preserve">or</w:t>
      </w:r>
      <w:r>
        <w:t xml:space="preserve"> </w:t>
      </w:r>
      <w:r>
        <w:t xml:space="preserve">“</w:t>
      </w:r>
      <w:r>
        <w:t xml:space="preserve">food safety training Johannesburg</w:t>
      </w:r>
      <w:r>
        <w:t xml:space="preserve">”</w:t>
      </w:r>
      <w:r>
        <w:t xml:space="preserve"> </w:t>
      </w:r>
      <w:r>
        <w:rPr>
          <w:vertAlign w:val="superscript"/>
        </w:rPr>
        <w:footnoteReference w:id="63"/>
      </w:r>
      <w:r>
        <w:t xml:space="preserve">. Each page must contain genuinely unique content — not templates with swapped city names — referencing local municipal health department contacts, specific suburbs where RFC has served clients, testimonials from local businesses, and an embedded Google Map. Title tag optimisation delivers immediate impact with minimal effort: the recommended format</w:t>
      </w:r>
      <w:r>
        <w:t xml:space="preserve"> </w:t>
      </w:r>
      <w:r>
        <w:t xml:space="preserve">“</w:t>
      </w:r>
      <w:r>
        <w:t xml:space="preserve">[Primary Service] | [City] | [Brand]</w:t>
      </w:r>
      <w:r>
        <w:t xml:space="preserve">”</w:t>
      </w:r>
      <w:r>
        <w:t xml:space="preserve"> </w:t>
      </w:r>
      <w:r>
        <w:t xml:space="preserve">aligns with ASC’s location-aware titles</w:t>
      </w:r>
      <w:r>
        <w:t xml:space="preserve"> </w:t>
      </w:r>
      <w:fldSimple w:instr="NOTEREF _Ref_Footnote_9 \h \f">
        <w:r>
          <w:rPr>
            <w:vertAlign w:val="superscript"/>
          </w:rPr>
          <w:t>9</w:t>
        </w:r>
      </w:fldSimple>
      <w:r>
        <w:t xml:space="preserve">. FAQ schema markup is similarly high-impact and low-effort, with rich snippets increasing click-through rates by 15–30%.</w:t>
      </w:r>
    </w:p>
    <w:bookmarkStart w:id="78" w:name="technical-seo-priorities"/>
    <w:p>
      <w:pPr>
        <w:pStyle w:val="Heading4"/>
      </w:pPr>
      <w:r>
        <w:t xml:space="preserve">3.2.1 Technical SEO Priorities</w:t>
      </w:r>
    </w:p>
    <w:p>
      <w:pPr>
        <w:pStyle w:val="FirstParagraph"/>
      </w:pPr>
      <w:r>
        <w:t xml:space="preserve">Technical SEO ensures search engines can efficiently crawl, index, and render RFC’s content. Mobile optimisation is the most urgent requirement: the current rfcsa.co.za site is not fully responsive, a critical deficiency given that 88% of mobile local business searches in South Africa result in a call or visit within 24 hours</w:t>
      </w:r>
      <w:r>
        <w:t xml:space="preserve"> </w:t>
      </w:r>
      <w:r>
        <w:rPr>
          <w:vertAlign w:val="superscript"/>
        </w:rPr>
        <w:footnoteReference w:id="64"/>
      </w:r>
      <w:r>
        <w:t xml:space="preserve">and Google operates mobile-first indexing. A responsive rebuild is essential. Site speed improvement should target sub-three-second load times through image compression to WebP format (30–50% reduction), CSS and JavaScript minification (20–30%), Cloudflare CDN implementation, and lazy loading for below-fold images. Additional critical actions include ensuring HTTPS across both domains, creating and submitting XML sitemaps for both rfcsa.co.za and rfcacademy.co.za, optimising robots.txt for full crawlability, implementing canonical tags to prevent duplicate content between domains, and cleaning URL structures to keyword-rich formats such as /haccp-training-pretoria/ rather than /page-id=123.</w:t>
      </w:r>
    </w:p>
    <w:bookmarkEnd w:id="78"/>
    <w:bookmarkEnd w:id="79"/>
    <w:bookmarkStart w:id="83" w:name="local-seo-strategy"/>
    <w:p>
      <w:pPr>
        <w:pStyle w:val="Heading3"/>
      </w:pPr>
      <w:r>
        <w:t xml:space="preserve">3.3 Local SEO Strategy</w:t>
      </w:r>
    </w:p>
    <w:p>
      <w:pPr>
        <w:pStyle w:val="FirstParagraph"/>
      </w:pPr>
      <w:r>
        <w:t xml:space="preserve">Local SEO determines whether RFC appears when businesses in Pretoria, Johannesburg, or broader Gauteng search for food safety services with geographic intent. With 46% of all Google searches classified as local and 97% of consumers learning about local businesses online, local optimisation is a core revenue driver, not a supplementary activity</w:t>
      </w:r>
      <w:r>
        <w:t xml:space="preserve"> </w:t>
      </w:r>
      <w:fldSimple w:instr="NOTEREF _Ref_Footnote_63 \h \f">
        <w:r>
          <w:rPr>
            <w:vertAlign w:val="superscript"/>
          </w:rPr>
          <w:t>63</w:t>
        </w:r>
      </w:fldSimple>
      <w:r>
        <w:t xml:space="preserve">.</w:t>
      </w:r>
    </w:p>
    <w:bookmarkStart w:id="80" w:name="google-business-profile-optimisation"/>
    <w:p>
      <w:pPr>
        <w:pStyle w:val="Heading4"/>
      </w:pPr>
      <w:r>
        <w:t xml:space="preserve">3.3.1 Google Business Profile Optimisation</w:t>
      </w:r>
    </w:p>
    <w:p>
      <w:pPr>
        <w:pStyle w:val="FirstParagraph"/>
      </w:pPr>
      <w:r>
        <w:t xml:space="preserve">Google Business Profile (GBP) is the most influential single factor for local search visibility. Businesses with a complete GBP are 2.7 times more likely to be viewed as reputable and 70% more likely to attract physical visits</w:t>
      </w:r>
      <w:r>
        <w:t xml:space="preserve"> </w:t>
      </w:r>
      <w:fldSimple w:instr="NOTEREF _Ref_Footnote_34 \h \f">
        <w:r>
          <w:rPr>
            <w:vertAlign w:val="superscript"/>
          </w:rPr>
          <w:t>34</w:t>
        </w:r>
      </w:fldSimple>
      <w:r>
        <w:t xml:space="preserve">. RFC must claim or create its listing with the exact business name</w:t>
      </w:r>
      <w:r>
        <w:t xml:space="preserve"> </w:t>
      </w:r>
      <w:r>
        <w:t xml:space="preserve">“</w:t>
      </w:r>
      <w:r>
        <w:t xml:space="preserve">Retha Faul Food Safety Consultants,</w:t>
      </w:r>
      <w:r>
        <w:t xml:space="preserve">”</w:t>
      </w:r>
      <w:r>
        <w:t xml:space="preserve"> </w:t>
      </w:r>
      <w:r>
        <w:t xml:space="preserve">set primary categories as</w:t>
      </w:r>
      <w:r>
        <w:t xml:space="preserve"> </w:t>
      </w:r>
      <w:r>
        <w:t xml:space="preserve">“</w:t>
      </w:r>
      <w:r>
        <w:t xml:space="preserve">Food Safety Consultant</w:t>
      </w:r>
      <w:r>
        <w:t xml:space="preserve">”</w:t>
      </w:r>
      <w:r>
        <w:t xml:space="preserve"> </w:t>
      </w:r>
      <w:r>
        <w:t xml:space="preserve">and</w:t>
      </w:r>
      <w:r>
        <w:t xml:space="preserve"> </w:t>
      </w:r>
      <w:r>
        <w:t xml:space="preserve">“</w:t>
      </w:r>
      <w:r>
        <w:t xml:space="preserve">Training Centre,</w:t>
      </w:r>
      <w:r>
        <w:t xml:space="preserve">”</w:t>
      </w:r>
      <w:r>
        <w:t xml:space="preserve"> </w:t>
      </w:r>
      <w:r>
        <w:t xml:space="preserve">and craft a description incorporating target keywords naturally:</w:t>
      </w:r>
      <w:r>
        <w:t xml:space="preserve"> </w:t>
      </w:r>
      <w:r>
        <w:t xml:space="preserve">“</w:t>
      </w:r>
      <w:r>
        <w:t xml:space="preserve">SAATCA-accredited food safety training and consulting in Pretoria, Gauteng. Specialising in R638 compliance, HACCP certification, FSSC 22000, and food safety audits for South African food businesses.</w:t>
      </w:r>
      <w:r>
        <w:t xml:space="preserve">”</w:t>
      </w:r>
      <w:r>
        <w:t xml:space="preserve"> </w:t>
      </w:r>
      <w:r>
        <w:t xml:space="preserve">All services should be listed as individual items, with weekly GBP posts announcing course dates, sharing blog links, and highlighting client success stories. High-quality photographs of training facilities, team members, and certification credentials should be uploaded monthly to signal active operations to Google’s local algorithm.</w:t>
      </w:r>
    </w:p>
    <w:bookmarkEnd w:id="80"/>
    <w:bookmarkStart w:id="81" w:name="X26af7ab95c820e11551cca1da3c4dfd472e9809"/>
    <w:p>
      <w:pPr>
        <w:pStyle w:val="Heading4"/>
      </w:pPr>
      <w:r>
        <w:t xml:space="preserve">3.3.2 NAP Consistency and Local Citation Building</w:t>
      </w:r>
    </w:p>
    <w:p>
      <w:pPr>
        <w:pStyle w:val="FirstParagraph"/>
      </w:pPr>
      <w:r>
        <w:t xml:space="preserve">Name, Address, and Phone number (NAP) consistency across the web is a foundational local ranking signal. RFC’s business name, physical Pretoria address, and contact number must appear identically on every directory listing and social profile — even minor variations dilute citation authority and confuse Google’s entity recognition.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Directory</w:t>
            </w:r>
          </w:p>
        </w:tc>
        <w:tc>
          <w:tcPr/>
          <w:p>
            <w:pPr>
              <w:pStyle w:val="Compact"/>
              <w:jc w:val="left"/>
            </w:pPr>
            <w:r>
              <w:t xml:space="preserve">Type</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Yello (yello.co.za)</w:t>
            </w:r>
          </w:p>
        </w:tc>
        <w:tc>
          <w:tcPr/>
          <w:p>
            <w:pPr>
              <w:pStyle w:val="Compact"/>
              <w:jc w:val="left"/>
            </w:pPr>
            <w:r>
              <w:t xml:space="preserve">General SA business directory</w:t>
            </w:r>
          </w:p>
        </w:tc>
        <w:tc>
          <w:tcPr/>
          <w:p>
            <w:pPr>
              <w:pStyle w:val="Compact"/>
              <w:jc w:val="left"/>
            </w:pPr>
            <w:r>
              <w:t xml:space="preserve">High</w:t>
            </w:r>
          </w:p>
        </w:tc>
        <w:tc>
          <w:tcPr/>
          <w:p>
            <w:pPr>
              <w:pStyle w:val="Compact"/>
              <w:jc w:val="left"/>
            </w:pPr>
            <w:r>
              <w:t xml:space="preserve">Strong domain authority, free listing</w:t>
            </w:r>
          </w:p>
        </w:tc>
      </w:tr>
      <w:tr>
        <w:tc>
          <w:tcPr/>
          <w:p>
            <w:pPr>
              <w:pStyle w:val="Compact"/>
              <w:jc w:val="left"/>
            </w:pPr>
            <w:r>
              <w:t xml:space="preserve">Brabys (brabys.com)</w:t>
            </w:r>
          </w:p>
        </w:tc>
        <w:tc>
          <w:tcPr/>
          <w:p>
            <w:pPr>
              <w:pStyle w:val="Compact"/>
              <w:jc w:val="left"/>
            </w:pPr>
            <w:r>
              <w:t xml:space="preserve">General SA business directory</w:t>
            </w:r>
          </w:p>
        </w:tc>
        <w:tc>
          <w:tcPr/>
          <w:p>
            <w:pPr>
              <w:pStyle w:val="Compact"/>
              <w:jc w:val="left"/>
            </w:pPr>
            <w:r>
              <w:t xml:space="preserve">High</w:t>
            </w:r>
          </w:p>
        </w:tc>
        <w:tc>
          <w:tcPr/>
          <w:p>
            <w:pPr>
              <w:pStyle w:val="Compact"/>
              <w:jc w:val="left"/>
            </w:pPr>
            <w:r>
              <w:t xml:space="preserve">Well-established local search presence</w:t>
            </w:r>
          </w:p>
        </w:tc>
      </w:tr>
      <w:tr>
        <w:tc>
          <w:tcPr/>
          <w:p>
            <w:pPr>
              <w:pStyle w:val="Compact"/>
              <w:jc w:val="left"/>
            </w:pPr>
            <w:r>
              <w:t xml:space="preserve">Hotfrog (hotfrog.co.za)</w:t>
            </w:r>
          </w:p>
        </w:tc>
        <w:tc>
          <w:tcPr/>
          <w:p>
            <w:pPr>
              <w:pStyle w:val="Compact"/>
              <w:jc w:val="left"/>
            </w:pPr>
            <w:r>
              <w:t xml:space="preserve">General business directory</w:t>
            </w:r>
          </w:p>
        </w:tc>
        <w:tc>
          <w:tcPr/>
          <w:p>
            <w:pPr>
              <w:pStyle w:val="Compact"/>
              <w:jc w:val="left"/>
            </w:pPr>
            <w:r>
              <w:t xml:space="preserve">High</w:t>
            </w:r>
          </w:p>
        </w:tc>
        <w:tc>
          <w:tcPr/>
          <w:p>
            <w:pPr>
              <w:pStyle w:val="Compact"/>
              <w:jc w:val="left"/>
            </w:pPr>
            <w:r>
              <w:t xml:space="preserve">Free listing, good for NAP consistency</w:t>
            </w:r>
          </w:p>
        </w:tc>
      </w:tr>
      <w:tr>
        <w:tc>
          <w:tcPr/>
          <w:p>
            <w:pPr>
              <w:pStyle w:val="Compact"/>
              <w:jc w:val="left"/>
            </w:pPr>
            <w:r>
              <w:t xml:space="preserve">SA Yellow (sayellow.com)</w:t>
            </w:r>
          </w:p>
        </w:tc>
        <w:tc>
          <w:tcPr/>
          <w:p>
            <w:pPr>
              <w:pStyle w:val="Compact"/>
              <w:jc w:val="left"/>
            </w:pPr>
            <w:r>
              <w:t xml:space="preserve">General SA directory</w:t>
            </w:r>
          </w:p>
        </w:tc>
        <w:tc>
          <w:tcPr/>
          <w:p>
            <w:pPr>
              <w:pStyle w:val="Compact"/>
              <w:jc w:val="left"/>
            </w:pPr>
            <w:r>
              <w:t xml:space="preserve">High</w:t>
            </w:r>
          </w:p>
        </w:tc>
        <w:tc>
          <w:tcPr/>
          <w:p>
            <w:pPr>
              <w:pStyle w:val="Compact"/>
              <w:jc w:val="left"/>
            </w:pPr>
            <w:r>
              <w:t xml:space="preserve">Established local index</w:t>
            </w:r>
          </w:p>
        </w:tc>
      </w:tr>
      <w:tr>
        <w:tc>
          <w:tcPr/>
          <w:p>
            <w:pPr>
              <w:pStyle w:val="Compact"/>
              <w:jc w:val="left"/>
            </w:pPr>
            <w:r>
              <w:t xml:space="preserve">Business Directory (businessdirectory.co.za)</w:t>
            </w:r>
          </w:p>
        </w:tc>
        <w:tc>
          <w:tcPr/>
          <w:p>
            <w:pPr>
              <w:pStyle w:val="Compact"/>
              <w:jc w:val="left"/>
            </w:pPr>
            <w:r>
              <w:t xml:space="preserve">General business directory</w:t>
            </w:r>
          </w:p>
        </w:tc>
        <w:tc>
          <w:tcPr/>
          <w:p>
            <w:pPr>
              <w:pStyle w:val="Compact"/>
              <w:jc w:val="left"/>
            </w:pPr>
            <w:r>
              <w:t xml:space="preserve">High</w:t>
            </w:r>
          </w:p>
        </w:tc>
        <w:tc>
          <w:tcPr/>
          <w:p>
            <w:pPr>
              <w:pStyle w:val="Compact"/>
              <w:jc w:val="left"/>
            </w:pPr>
            <w:r>
              <w:t xml:space="preserve">Free and paid options</w:t>
            </w:r>
          </w:p>
        </w:tc>
      </w:tr>
      <w:tr>
        <w:tc>
          <w:tcPr/>
          <w:p>
            <w:pPr>
              <w:pStyle w:val="Compact"/>
              <w:jc w:val="left"/>
            </w:pPr>
            <w:r>
              <w:t xml:space="preserve">Find It SA (finditSA.co.za)</w:t>
            </w:r>
          </w:p>
        </w:tc>
        <w:tc>
          <w:tcPr/>
          <w:p>
            <w:pPr>
              <w:pStyle w:val="Compact"/>
              <w:jc w:val="left"/>
            </w:pPr>
            <w:r>
              <w:t xml:space="preserve">General SA directory</w:t>
            </w:r>
          </w:p>
        </w:tc>
        <w:tc>
          <w:tcPr/>
          <w:p>
            <w:pPr>
              <w:pStyle w:val="Compact"/>
              <w:jc w:val="left"/>
            </w:pPr>
            <w:r>
              <w:t xml:space="preserve">Medium</w:t>
            </w:r>
          </w:p>
        </w:tc>
        <w:tc>
          <w:tcPr/>
          <w:p>
            <w:pPr>
              <w:pStyle w:val="Compact"/>
              <w:jc w:val="left"/>
            </w:pPr>
            <w:r>
              <w:t xml:space="preserve">Growing local business index</w:t>
            </w:r>
          </w:p>
        </w:tc>
      </w:tr>
      <w:tr>
        <w:tc>
          <w:tcPr/>
          <w:p>
            <w:pPr>
              <w:pStyle w:val="Compact"/>
              <w:jc w:val="left"/>
            </w:pPr>
            <w:r>
              <w:t xml:space="preserve">SABizGuide (sabizguide.co.za)</w:t>
            </w:r>
          </w:p>
        </w:tc>
        <w:tc>
          <w:tcPr/>
          <w:p>
            <w:pPr>
              <w:pStyle w:val="Compact"/>
              <w:jc w:val="left"/>
            </w:pPr>
            <w:r>
              <w:t xml:space="preserve">General business directory</w:t>
            </w:r>
          </w:p>
        </w:tc>
        <w:tc>
          <w:tcPr/>
          <w:p>
            <w:pPr>
              <w:pStyle w:val="Compact"/>
              <w:jc w:val="left"/>
            </w:pPr>
            <w:r>
              <w:t xml:space="preserve">Medium</w:t>
            </w:r>
          </w:p>
        </w:tc>
        <w:tc>
          <w:tcPr/>
          <w:p>
            <w:pPr>
              <w:pStyle w:val="Compact"/>
              <w:jc w:val="left"/>
            </w:pPr>
            <w:r>
              <w:t xml:space="preserve">B2B-focused</w:t>
            </w:r>
          </w:p>
        </w:tc>
      </w:tr>
      <w:tr>
        <w:tc>
          <w:tcPr/>
          <w:p>
            <w:pPr>
              <w:pStyle w:val="Compact"/>
              <w:jc w:val="left"/>
            </w:pPr>
            <w:r>
              <w:t xml:space="preserve">Yalwa (yalwa.co.za)</w:t>
            </w:r>
          </w:p>
        </w:tc>
        <w:tc>
          <w:tcPr/>
          <w:p>
            <w:pPr>
              <w:pStyle w:val="Compact"/>
              <w:jc w:val="left"/>
            </w:pPr>
            <w:r>
              <w:t xml:space="preserve">General classifieds/directory</w:t>
            </w:r>
          </w:p>
        </w:tc>
        <w:tc>
          <w:tcPr/>
          <w:p>
            <w:pPr>
              <w:pStyle w:val="Compact"/>
              <w:jc w:val="left"/>
            </w:pPr>
            <w:r>
              <w:t xml:space="preserve">Medium</w:t>
            </w:r>
          </w:p>
        </w:tc>
        <w:tc>
          <w:tcPr/>
          <w:p>
            <w:pPr>
              <w:pStyle w:val="Compact"/>
              <w:jc w:val="left"/>
            </w:pPr>
            <w:r>
              <w:t xml:space="preserve">International platform with SA presence</w:t>
            </w:r>
          </w:p>
        </w:tc>
      </w:tr>
      <w:tr>
        <w:tc>
          <w:tcPr/>
          <w:p>
            <w:pPr>
              <w:pStyle w:val="Compact"/>
              <w:jc w:val="left"/>
            </w:pPr>
            <w:r>
              <w:t xml:space="preserve">Cylex (cylex.co.za)</w:t>
            </w:r>
          </w:p>
        </w:tc>
        <w:tc>
          <w:tcPr/>
          <w:p>
            <w:pPr>
              <w:pStyle w:val="Compact"/>
              <w:jc w:val="left"/>
            </w:pPr>
            <w:r>
              <w:t xml:space="preserve">Business directory</w:t>
            </w:r>
          </w:p>
        </w:tc>
        <w:tc>
          <w:tcPr/>
          <w:p>
            <w:pPr>
              <w:pStyle w:val="Compact"/>
              <w:jc w:val="left"/>
            </w:pPr>
            <w:r>
              <w:t xml:space="preserve">Medium</w:t>
            </w:r>
          </w:p>
        </w:tc>
        <w:tc>
          <w:tcPr/>
          <w:p>
            <w:pPr>
              <w:pStyle w:val="Compact"/>
              <w:jc w:val="left"/>
            </w:pPr>
            <w:r>
              <w:t xml:space="preserve">Strong European/SA presence</w:t>
            </w:r>
          </w:p>
        </w:tc>
      </w:tr>
      <w:tr>
        <w:tc>
          <w:tcPr/>
          <w:p>
            <w:pPr>
              <w:pStyle w:val="Compact"/>
              <w:jc w:val="left"/>
            </w:pPr>
            <w:r>
              <w:t xml:space="preserve">Snupit (snupit.co.za)</w:t>
            </w:r>
          </w:p>
        </w:tc>
        <w:tc>
          <w:tcPr/>
          <w:p>
            <w:pPr>
              <w:pStyle w:val="Compact"/>
              <w:jc w:val="left"/>
            </w:pPr>
            <w:r>
              <w:t xml:space="preserve">Service marketplace</w:t>
            </w:r>
          </w:p>
        </w:tc>
        <w:tc>
          <w:tcPr/>
          <w:p>
            <w:pPr>
              <w:pStyle w:val="Compact"/>
              <w:jc w:val="left"/>
            </w:pPr>
            <w:r>
              <w:t xml:space="preserve">Medium</w:t>
            </w:r>
          </w:p>
        </w:tc>
        <w:tc>
          <w:tcPr/>
          <w:p>
            <w:pPr>
              <w:pStyle w:val="Compact"/>
              <w:jc w:val="left"/>
            </w:pPr>
            <w:r>
              <w:t xml:space="preserve">Quote-request platform</w:t>
            </w:r>
          </w:p>
        </w:tc>
      </w:tr>
      <w:tr>
        <w:tc>
          <w:tcPr/>
          <w:p>
            <w:pPr>
              <w:pStyle w:val="Compact"/>
              <w:jc w:val="left"/>
            </w:pPr>
            <w:r>
              <w:t xml:space="preserve">SAATCA Directory (saatca.co.za)</w:t>
            </w:r>
          </w:p>
        </w:tc>
        <w:tc>
          <w:tcPr/>
          <w:p>
            <w:pPr>
              <w:pStyle w:val="Compact"/>
              <w:jc w:val="left"/>
            </w:pPr>
            <w:r>
              <w:t xml:space="preserve">Industry accreditation body</w:t>
            </w:r>
          </w:p>
        </w:tc>
        <w:tc>
          <w:tcPr/>
          <w:p>
            <w:pPr>
              <w:pStyle w:val="Compact"/>
              <w:jc w:val="left"/>
            </w:pPr>
            <w:r>
              <w:t xml:space="preserve">Critical</w:t>
            </w:r>
          </w:p>
        </w:tc>
        <w:tc>
          <w:tcPr/>
          <w:p>
            <w:pPr>
              <w:pStyle w:val="Compact"/>
              <w:jc w:val="left"/>
            </w:pPr>
            <w:r>
              <w:t xml:space="preserve">Professional registration, high authority</w:t>
            </w:r>
          </w:p>
        </w:tc>
      </w:tr>
      <w:tr>
        <w:tc>
          <w:tcPr/>
          <w:p>
            <w:pPr>
              <w:pStyle w:val="Compact"/>
              <w:jc w:val="left"/>
            </w:pPr>
            <w:r>
              <w:t xml:space="preserve">FoodBev SETA Provider List</w:t>
            </w:r>
          </w:p>
        </w:tc>
        <w:tc>
          <w:tcPr/>
          <w:p>
            <w:pPr>
              <w:pStyle w:val="Compact"/>
              <w:jc w:val="left"/>
            </w:pPr>
            <w:r>
              <w:t xml:space="preserve">SETA accreditation body</w:t>
            </w:r>
          </w:p>
        </w:tc>
        <w:tc>
          <w:tcPr/>
          <w:p>
            <w:pPr>
              <w:pStyle w:val="Compact"/>
              <w:jc w:val="left"/>
            </w:pPr>
            <w:r>
              <w:t xml:space="preserve">Critical</w:t>
            </w:r>
          </w:p>
        </w:tc>
        <w:tc>
          <w:tcPr/>
          <w:p>
            <w:pPr>
              <w:pStyle w:val="Compact"/>
              <w:jc w:val="left"/>
            </w:pPr>
            <w:r>
              <w:t xml:space="preserve">Official training provider listing</w:t>
            </w:r>
          </w:p>
        </w:tc>
      </w:tr>
      <w:tr>
        <w:tc>
          <w:tcPr/>
          <w:p>
            <w:pPr>
              <w:pStyle w:val="Compact"/>
              <w:jc w:val="left"/>
            </w:pPr>
            <w:r>
              <w:t xml:space="preserve">SAAFFI Supplier Directory</w:t>
            </w:r>
          </w:p>
        </w:tc>
        <w:tc>
          <w:tcPr/>
          <w:p>
            <w:pPr>
              <w:pStyle w:val="Compact"/>
              <w:jc w:val="left"/>
            </w:pPr>
            <w:r>
              <w:t xml:space="preserve">Food industry association</w:t>
            </w:r>
          </w:p>
        </w:tc>
        <w:tc>
          <w:tcPr/>
          <w:p>
            <w:pPr>
              <w:pStyle w:val="Compact"/>
              <w:jc w:val="left"/>
            </w:pPr>
            <w:r>
              <w:t xml:space="preserve">High</w:t>
            </w:r>
          </w:p>
        </w:tc>
        <w:tc>
          <w:tcPr/>
          <w:p>
            <w:pPr>
              <w:pStyle w:val="Compact"/>
              <w:jc w:val="left"/>
            </w:pPr>
            <w:r>
              <w:t xml:space="preserve">Food and allied industries index</w:t>
            </w:r>
          </w:p>
        </w:tc>
      </w:tr>
      <w:tr>
        <w:tc>
          <w:tcPr/>
          <w:p>
            <w:pPr>
              <w:pStyle w:val="Compact"/>
              <w:jc w:val="left"/>
            </w:pPr>
            <w:r>
              <w:t xml:space="preserve">Food &amp; Beverage Reporter Directory</w:t>
            </w:r>
          </w:p>
        </w:tc>
        <w:tc>
          <w:tcPr/>
          <w:p>
            <w:pPr>
              <w:pStyle w:val="Compact"/>
              <w:jc w:val="left"/>
            </w:pPr>
            <w:r>
              <w:t xml:space="preserve">Trade publication</w:t>
            </w:r>
          </w:p>
        </w:tc>
        <w:tc>
          <w:tcPr/>
          <w:p>
            <w:pPr>
              <w:pStyle w:val="Compact"/>
              <w:jc w:val="left"/>
            </w:pPr>
            <w:r>
              <w:t xml:space="preserve">High</w:t>
            </w:r>
          </w:p>
        </w:tc>
        <w:tc>
          <w:tcPr/>
          <w:p>
            <w:pPr>
              <w:pStyle w:val="Compact"/>
              <w:jc w:val="left"/>
            </w:pPr>
            <w:r>
              <w:t xml:space="preserve">Industry-specific visibility</w:t>
            </w:r>
            <w:r>
              <w:t xml:space="preserve"> </w:t>
            </w:r>
            <w:r>
              <w:rPr>
                <w:vertAlign w:val="superscript"/>
              </w:rPr>
              <w:footnoteReference w:id="65"/>
            </w:r>
          </w:p>
        </w:tc>
      </w:tr>
      <w:tr>
        <w:tc>
          <w:tcPr/>
          <w:p>
            <w:pPr>
              <w:pStyle w:val="Compact"/>
              <w:jc w:val="left"/>
            </w:pPr>
            <w:r>
              <w:t xml:space="preserve">SIZA Member Directory</w:t>
            </w:r>
          </w:p>
        </w:tc>
        <w:tc>
          <w:tcPr/>
          <w:p>
            <w:pPr>
              <w:pStyle w:val="Compact"/>
              <w:jc w:val="left"/>
            </w:pPr>
            <w:r>
              <w:t xml:space="preserve">Sustainability organisation</w:t>
            </w:r>
          </w:p>
        </w:tc>
        <w:tc>
          <w:tcPr/>
          <w:p>
            <w:pPr>
              <w:pStyle w:val="Compact"/>
              <w:jc w:val="left"/>
            </w:pPr>
            <w:r>
              <w:t xml:space="preserve">Medium</w:t>
            </w:r>
          </w:p>
        </w:tc>
        <w:tc>
          <w:tcPr/>
          <w:p>
            <w:pPr>
              <w:pStyle w:val="Compact"/>
              <w:jc w:val="left"/>
            </w:pPr>
            <w:r>
              <w:t xml:space="preserve">Food chain compliance relevance</w:t>
            </w:r>
          </w:p>
        </w:tc>
      </w:tr>
    </w:tbl>
    <w:p>
      <w:pPr>
        <w:pStyle w:val="BodyText"/>
      </w:pPr>
      <w:r>
        <w:t xml:space="preserve">General directories build citation volume and NAP consistency, while industry-specific listings carry substantially higher trust signals because they represent verified professional registrations. The SAATCA directory is particularly valuable: as South Africa’s official body for certifying management system auditors, a profile on saatca.co.za confers immediate professional credibility and delivers a high-authority backlink</w:t>
      </w:r>
      <w:r>
        <w:t xml:space="preserve"> </w:t>
      </w:r>
      <w:fldSimple w:instr="NOTEREF _Ref_Footnote_9 \h \f">
        <w:r>
          <w:rPr>
            <w:vertAlign w:val="superscript"/>
          </w:rPr>
          <w:t>9</w:t>
        </w:r>
      </w:fldSimple>
      <w:r>
        <w:t xml:space="preserve">. Inclusion on the FoodBev SETA provider list validates RFC’s training accreditation and connects the business to the Sector Education and Training Authority’s referral channels. Citation building should be staged across three months — general directories in month one (five listings per week), industry-specific directories in month two, and ongoing monitoring in month three — with unique 150–250 word business descriptions for each listing to avoid duplicate content penalties.</w:t>
      </w:r>
    </w:p>
    <w:bookmarkEnd w:id="81"/>
    <w:bookmarkStart w:id="82" w:name="customer-review-generation-strategy"/>
    <w:p>
      <w:pPr>
        <w:pStyle w:val="Heading4"/>
      </w:pPr>
      <w:r>
        <w:t xml:space="preserve">3.3.3 Customer Review Generation Strategy</w:t>
      </w:r>
    </w:p>
    <w:p>
      <w:pPr>
        <w:pStyle w:val="FirstParagraph"/>
      </w:pPr>
      <w:r>
        <w:t xml:space="preserve">Google reviews are the strongest local ranking factor after GBP optimisation and the most influential conversion signal for B2B services. RFC should implement systematic review collection at three touchpoints: immediately following training completion, upon consulting engagement completion, and three months post-engagement for long-term feedback. Review requests should be sent via personalised email with a direct GBP review link and specific prompts encouraging reviewers to mention service type (</w:t>
      </w:r>
      <w:r>
        <w:t xml:space="preserve">“</w:t>
      </w:r>
      <w:r>
        <w:t xml:space="preserve">R638 training,</w:t>
      </w:r>
      <w:r>
        <w:t xml:space="preserve">”</w:t>
      </w:r>
      <w:r>
        <w:t xml:space="preserve"> </w:t>
      </w:r>
      <w:r>
        <w:t xml:space="preserve">“</w:t>
      </w:r>
      <w:r>
        <w:t xml:space="preserve">HACCP consulting</w:t>
      </w:r>
      <w:r>
        <w:t xml:space="preserve">”</w:t>
      </w:r>
      <w:r>
        <w:t xml:space="preserve">) and location (</w:t>
      </w:r>
      <w:r>
        <w:t xml:space="preserve">“</w:t>
      </w:r>
      <w:r>
        <w:t xml:space="preserve">Pretoria,</w:t>
      </w:r>
      <w:r>
        <w:t xml:space="preserve">”</w:t>
      </w:r>
      <w:r>
        <w:t xml:space="preserve"> </w:t>
      </w:r>
      <w:r>
        <w:t xml:space="preserve">“</w:t>
      </w:r>
      <w:r>
        <w:t xml:space="preserve">Gauteng</w:t>
      </w:r>
      <w:r>
        <w:t xml:space="preserve">”</w:t>
      </w:r>
      <w:r>
        <w:t xml:space="preserve">) — review text keywords contribute to local relevance signals. A target of ten new reviews monthly, averaging four stars or above, would rapidly build RFC’s profile and likely surpass most competitors, where review collection appears largely passive.</w:t>
      </w:r>
    </w:p>
    <w:bookmarkEnd w:id="82"/>
    <w:bookmarkEnd w:id="83"/>
    <w:bookmarkStart w:id="84" w:name="link-building-opportunities"/>
    <w:p>
      <w:pPr>
        <w:pStyle w:val="Heading3"/>
      </w:pPr>
      <w:r>
        <w:t xml:space="preserve">3.4 Link Building Opportunities</w:t>
      </w:r>
    </w:p>
    <w:p>
      <w:pPr>
        <w:pStyle w:val="FirstParagraph"/>
      </w:pPr>
      <w:r>
        <w:t xml:space="preserve">Backlinks remain one of the three most important ranking factors in Google’s algorithm. ASC has built the strongest profile in the sector through industry association memberships, directory listings, and extensive content that naturally attracts links</w:t>
      </w:r>
      <w:r>
        <w:t xml:space="preserve"> </w:t>
      </w:r>
      <w:fldSimple w:instr="NOTEREF _Ref_Footnote_9 \h \f">
        <w:r>
          <w:rPr>
            <w:vertAlign w:val="superscript"/>
          </w:rPr>
          <w:t>9</w:t>
        </w:r>
      </w:fldSimple>
      <w:r>
        <w:t xml:space="preserve">. RFC’s current link profile is thin by comparison, and building authoritative referring domains is a medium-term priority that will amplify the impact of all on-page and content investments.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Opportunity Source</w:t>
            </w:r>
          </w:p>
        </w:tc>
        <w:tc>
          <w:tcPr/>
          <w:p>
            <w:pPr>
              <w:pStyle w:val="Compact"/>
              <w:jc w:val="left"/>
            </w:pPr>
            <w:r>
              <w:t xml:space="preserve">Target Organisations</w:t>
            </w:r>
          </w:p>
        </w:tc>
        <w:tc>
          <w:tcPr/>
          <w:p>
            <w:pPr>
              <w:pStyle w:val="Compact"/>
              <w:jc w:val="left"/>
            </w:pPr>
            <w:r>
              <w:t xml:space="preserve">Link Type</w:t>
            </w:r>
          </w:p>
        </w:tc>
        <w:tc>
          <w:tcPr/>
          <w:p>
            <w:pPr>
              <w:pStyle w:val="Compact"/>
              <w:jc w:val="left"/>
            </w:pPr>
            <w:r>
              <w:t xml:space="preserve">Effort</w:t>
            </w:r>
          </w:p>
        </w:tc>
        <w:tc>
          <w:tcPr/>
          <w:p>
            <w:pPr>
              <w:pStyle w:val="Compact"/>
              <w:jc w:val="left"/>
            </w:pPr>
            <w:r>
              <w:t xml:space="preserve">Authority Impact</w:t>
            </w:r>
          </w:p>
        </w:tc>
      </w:tr>
      <w:tr>
        <w:tc>
          <w:tcPr/>
          <w:p>
            <w:pPr>
              <w:pStyle w:val="Compact"/>
              <w:jc w:val="left"/>
            </w:pPr>
            <w:r>
              <w:t xml:space="preserve">Industry accreditation bodies</w:t>
            </w:r>
          </w:p>
        </w:tc>
        <w:tc>
          <w:tcPr/>
          <w:p>
            <w:pPr>
              <w:pStyle w:val="Compact"/>
              <w:jc w:val="left"/>
            </w:pPr>
            <w:r>
              <w:t xml:space="preserve">SAATCA, FoodBev SETA</w:t>
            </w:r>
          </w:p>
        </w:tc>
        <w:tc>
          <w:tcPr/>
          <w:p>
            <w:pPr>
              <w:pStyle w:val="Compact"/>
              <w:jc w:val="left"/>
            </w:pPr>
            <w:r>
              <w:t xml:space="preserve">Directory/profile listings</w:t>
            </w:r>
          </w:p>
        </w:tc>
        <w:tc>
          <w:tcPr/>
          <w:p>
            <w:pPr>
              <w:pStyle w:val="Compact"/>
              <w:jc w:val="left"/>
            </w:pPr>
            <w:r>
              <w:t xml:space="preserve">Low</w:t>
            </w:r>
          </w:p>
        </w:tc>
        <w:tc>
          <w:tcPr/>
          <w:p>
            <w:pPr>
              <w:pStyle w:val="Compact"/>
              <w:jc w:val="left"/>
            </w:pPr>
            <w:r>
              <w:t xml:space="preserve">High — government-backed</w:t>
            </w:r>
          </w:p>
        </w:tc>
      </w:tr>
      <w:tr>
        <w:tc>
          <w:tcPr/>
          <w:p>
            <w:pPr>
              <w:pStyle w:val="Compact"/>
              <w:jc w:val="left"/>
            </w:pPr>
            <w:r>
              <w:t xml:space="preserve">Professional associations</w:t>
            </w:r>
          </w:p>
        </w:tc>
        <w:tc>
          <w:tcPr/>
          <w:p>
            <w:pPr>
              <w:pStyle w:val="Compact"/>
              <w:jc w:val="left"/>
            </w:pPr>
            <w:r>
              <w:t xml:space="preserve">SAAFoST, CGCSA, SIZA</w:t>
            </w:r>
          </w:p>
        </w:tc>
        <w:tc>
          <w:tcPr/>
          <w:p>
            <w:pPr>
              <w:pStyle w:val="Compact"/>
              <w:jc w:val="left"/>
            </w:pPr>
            <w:r>
              <w:t xml:space="preserve">Member directory, event links</w:t>
            </w:r>
          </w:p>
        </w:tc>
        <w:tc>
          <w:tcPr/>
          <w:p>
            <w:pPr>
              <w:pStyle w:val="Compact"/>
              <w:jc w:val="left"/>
            </w:pPr>
            <w:r>
              <w:t xml:space="preserve">Low-Medium</w:t>
            </w:r>
          </w:p>
        </w:tc>
        <w:tc>
          <w:tcPr/>
          <w:p>
            <w:pPr>
              <w:pStyle w:val="Compact"/>
              <w:jc w:val="left"/>
            </w:pPr>
            <w:r>
              <w:t xml:space="preserve">High — industry credibility</w:t>
            </w:r>
          </w:p>
        </w:tc>
      </w:tr>
      <w:tr>
        <w:tc>
          <w:tcPr/>
          <w:p>
            <w:pPr>
              <w:pStyle w:val="Compact"/>
              <w:jc w:val="left"/>
            </w:pPr>
            <w:r>
              <w:t xml:space="preserve">Guest posting</w:t>
            </w:r>
          </w:p>
        </w:tc>
        <w:tc>
          <w:tcPr/>
          <w:p>
            <w:pPr>
              <w:pStyle w:val="Compact"/>
              <w:jc w:val="left"/>
            </w:pPr>
            <w:r>
              <w:t xml:space="preserve">Bizcommunity, Food &amp; Beverage Reporter, Food For Mzansi, SME South Africa</w:t>
            </w:r>
          </w:p>
        </w:tc>
        <w:tc>
          <w:tcPr/>
          <w:p>
            <w:pPr>
              <w:pStyle w:val="Compact"/>
              <w:jc w:val="left"/>
            </w:pPr>
            <w:r>
              <w:t xml:space="preserve">Author bio + in-content links</w:t>
            </w:r>
          </w:p>
        </w:tc>
        <w:tc>
          <w:tcPr/>
          <w:p>
            <w:pPr>
              <w:pStyle w:val="Compact"/>
              <w:jc w:val="left"/>
            </w:pPr>
            <w:r>
              <w:t xml:space="preserve">Medium</w:t>
            </w:r>
          </w:p>
        </w:tc>
        <w:tc>
          <w:tcPr/>
          <w:p>
            <w:pPr>
              <w:pStyle w:val="Compact"/>
              <w:jc w:val="left"/>
            </w:pPr>
            <w:r>
              <w:t xml:space="preserve">Medium-High — editorial authority</w:t>
            </w:r>
          </w:p>
        </w:tc>
      </w:tr>
      <w:tr>
        <w:tc>
          <w:tcPr/>
          <w:p>
            <w:pPr>
              <w:pStyle w:val="Compact"/>
              <w:jc w:val="left"/>
            </w:pPr>
            <w:r>
              <w:t xml:space="preserve">Supplier partnerships</w:t>
            </w:r>
          </w:p>
        </w:tc>
        <w:tc>
          <w:tcPr/>
          <w:p>
            <w:pPr>
              <w:pStyle w:val="Compact"/>
              <w:jc w:val="left"/>
            </w:pPr>
            <w:r>
              <w:t xml:space="preserve">Pest control companies, cleaning suppliers, food equipment suppliers</w:t>
            </w:r>
          </w:p>
        </w:tc>
        <w:tc>
          <w:tcPr/>
          <w:p>
            <w:pPr>
              <w:pStyle w:val="Compact"/>
              <w:jc w:val="left"/>
            </w:pPr>
            <w:r>
              <w:t xml:space="preserve">Partner/referral page links</w:t>
            </w:r>
          </w:p>
        </w:tc>
        <w:tc>
          <w:tcPr/>
          <w:p>
            <w:pPr>
              <w:pStyle w:val="Compact"/>
              <w:jc w:val="left"/>
            </w:pPr>
            <w:r>
              <w:t xml:space="preserve">Medium</w:t>
            </w:r>
          </w:p>
        </w:tc>
        <w:tc>
          <w:tcPr/>
          <w:p>
            <w:pPr>
              <w:pStyle w:val="Compact"/>
              <w:jc w:val="left"/>
            </w:pPr>
            <w:r>
              <w:t xml:space="preserve">Medium — local relevance</w:t>
            </w:r>
          </w:p>
        </w:tc>
      </w:tr>
      <w:tr>
        <w:tc>
          <w:tcPr/>
          <w:p>
            <w:pPr>
              <w:pStyle w:val="Compact"/>
              <w:jc w:val="left"/>
            </w:pPr>
            <w:r>
              <w:t xml:space="preserve">Municipal websites</w:t>
            </w:r>
          </w:p>
        </w:tc>
        <w:tc>
          <w:tcPr/>
          <w:p>
            <w:pPr>
              <w:pStyle w:val="Compact"/>
              <w:jc w:val="left"/>
            </w:pPr>
            <w:r>
              <w:t xml:space="preserve">Environmental Health Department approved provider lists</w:t>
            </w:r>
          </w:p>
        </w:tc>
        <w:tc>
          <w:tcPr/>
          <w:p>
            <w:pPr>
              <w:pStyle w:val="Compact"/>
              <w:jc w:val="left"/>
            </w:pPr>
            <w:r>
              <w:t xml:space="preserve">Official government links</w:t>
            </w:r>
          </w:p>
        </w:tc>
        <w:tc>
          <w:tcPr/>
          <w:p>
            <w:pPr>
              <w:pStyle w:val="Compact"/>
              <w:jc w:val="left"/>
            </w:pPr>
            <w:r>
              <w:t xml:space="preserve">Medium-High</w:t>
            </w:r>
          </w:p>
        </w:tc>
        <w:tc>
          <w:tcPr/>
          <w:p>
            <w:pPr>
              <w:pStyle w:val="Compact"/>
              <w:jc w:val="left"/>
            </w:pPr>
            <w:r>
              <w:t xml:space="preserve">Very High — .gov.za domain</w:t>
            </w:r>
          </w:p>
        </w:tc>
      </w:tr>
      <w:tr>
        <w:tc>
          <w:tcPr/>
          <w:p>
            <w:pPr>
              <w:pStyle w:val="Compact"/>
              <w:jc w:val="left"/>
            </w:pPr>
            <w:r>
              <w:t xml:space="preserve">Podcast appearances</w:t>
            </w:r>
          </w:p>
        </w:tc>
        <w:tc>
          <w:tcPr/>
          <w:p>
            <w:pPr>
              <w:pStyle w:val="Compact"/>
              <w:jc w:val="left"/>
            </w:pPr>
            <w:r>
              <w:t xml:space="preserve">SA food industry podcasts</w:t>
            </w:r>
          </w:p>
        </w:tc>
        <w:tc>
          <w:tcPr/>
          <w:p>
            <w:pPr>
              <w:pStyle w:val="Compact"/>
              <w:jc w:val="left"/>
            </w:pPr>
            <w:r>
              <w:t xml:space="preserve">Show notes backlinks</w:t>
            </w:r>
          </w:p>
        </w:tc>
        <w:tc>
          <w:tcPr/>
          <w:p>
            <w:pPr>
              <w:pStyle w:val="Compact"/>
              <w:jc w:val="left"/>
            </w:pPr>
            <w:r>
              <w:t xml:space="preserve">Low</w:t>
            </w:r>
          </w:p>
        </w:tc>
        <w:tc>
          <w:tcPr/>
          <w:p>
            <w:pPr>
              <w:pStyle w:val="Compact"/>
              <w:jc w:val="left"/>
            </w:pPr>
            <w:r>
              <w:t xml:space="preserve">Medium — multimedia authority</w:t>
            </w:r>
          </w:p>
        </w:tc>
      </w:tr>
      <w:tr>
        <w:tc>
          <w:tcPr/>
          <w:p>
            <w:pPr>
              <w:pStyle w:val="Compact"/>
              <w:jc w:val="left"/>
            </w:pPr>
            <w:r>
              <w:t xml:space="preserve">Press releases</w:t>
            </w:r>
          </w:p>
        </w:tc>
        <w:tc>
          <w:tcPr/>
          <w:p>
            <w:pPr>
              <w:pStyle w:val="Compact"/>
              <w:jc w:val="left"/>
            </w:pPr>
            <w:r>
              <w:t xml:space="preserve">SAATCA milestones, new course announcements</w:t>
            </w:r>
          </w:p>
        </w:tc>
        <w:tc>
          <w:tcPr/>
          <w:p>
            <w:pPr>
              <w:pStyle w:val="Compact"/>
              <w:jc w:val="left"/>
            </w:pPr>
            <w:r>
              <w:t xml:space="preserve">News publication pickups</w:t>
            </w:r>
          </w:p>
        </w:tc>
        <w:tc>
          <w:tcPr/>
          <w:p>
            <w:pPr>
              <w:pStyle w:val="Compact"/>
              <w:jc w:val="left"/>
            </w:pPr>
            <w:r>
              <w:t xml:space="preserve">Medium</w:t>
            </w:r>
          </w:p>
        </w:tc>
        <w:tc>
          <w:tcPr/>
          <w:p>
            <w:pPr>
              <w:pStyle w:val="Compact"/>
              <w:jc w:val="left"/>
            </w:pPr>
            <w:r>
              <w:t xml:space="preserve">Medium — time-limited</w:t>
            </w:r>
          </w:p>
        </w:tc>
      </w:tr>
      <w:tr>
        <w:tc>
          <w:tcPr/>
          <w:p>
            <w:pPr>
              <w:pStyle w:val="Compact"/>
              <w:jc w:val="left"/>
            </w:pPr>
            <w:r>
              <w:t xml:space="preserve">Testimonial link building</w:t>
            </w:r>
          </w:p>
        </w:tc>
        <w:tc>
          <w:tcPr/>
          <w:p>
            <w:pPr>
              <w:pStyle w:val="Compact"/>
              <w:jc w:val="left"/>
            </w:pPr>
            <w:r>
              <w:t xml:space="preserve">Suppliers, software vendors, venue partners</w:t>
            </w:r>
          </w:p>
        </w:tc>
        <w:tc>
          <w:tcPr/>
          <w:p>
            <w:pPr>
              <w:pStyle w:val="Compact"/>
              <w:jc w:val="left"/>
            </w:pPr>
            <w:r>
              <w:t xml:space="preserve">Testimonial page backlinks</w:t>
            </w:r>
          </w:p>
        </w:tc>
        <w:tc>
          <w:tcPr/>
          <w:p>
            <w:pPr>
              <w:pStyle w:val="Compact"/>
              <w:jc w:val="left"/>
            </w:pPr>
            <w:r>
              <w:t xml:space="preserve">Low</w:t>
            </w:r>
          </w:p>
        </w:tc>
        <w:tc>
          <w:tcPr/>
          <w:p>
            <w:pPr>
              <w:pStyle w:val="Compact"/>
              <w:jc w:val="left"/>
            </w:pPr>
            <w:r>
              <w:t xml:space="preserve">Low-Medium — commercial signal</w:t>
            </w:r>
          </w:p>
        </w:tc>
      </w:tr>
    </w:tbl>
    <w:p>
      <w:pPr>
        <w:pStyle w:val="BodyText"/>
      </w:pPr>
      <w:r>
        <w:t xml:space="preserve">Industry association listings offer the highest authority impact for the lowest effort. RFC’s existing SAATCA accreditation likely qualifies it for immediate directory listing, delivering a trusted backlink from a domain ASC itself references prominently</w:t>
      </w:r>
      <w:r>
        <w:t xml:space="preserve"> </w:t>
      </w:r>
      <w:fldSimple w:instr="NOTEREF _Ref_Footnote_9 \h \f">
        <w:r>
          <w:rPr>
            <w:vertAlign w:val="superscript"/>
          </w:rPr>
          <w:t>9</w:t>
        </w:r>
      </w:fldSimple>
      <w:r>
        <w:t xml:space="preserve">. CGCSA and SIZA offer similar member directory opportunities that place RFC within the official food supply chain ecosystem. SAAFoST provides access to a professional network of food scientists who both refer training services and create academic citation opportunities.</w:t>
      </w:r>
    </w:p>
    <w:p>
      <w:pPr>
        <w:pStyle w:val="BodyText"/>
      </w:pPr>
      <w:r>
        <w:t xml:space="preserve">Guest posting on established South African publications represents the most scalable authority-building channel. Bizcommunity reaches a broad B2B audience, Food &amp; Beverage Reporter offers supplier directory inclusion and editorial coverage</w:t>
      </w:r>
      <w:r>
        <w:t xml:space="preserve"> </w:t>
      </w:r>
      <w:fldSimple w:instr="NOTEREF _Ref_Footnote_65 \h \f">
        <w:r>
          <w:rPr>
            <w:vertAlign w:val="superscript"/>
          </w:rPr>
          <w:t>65</w:t>
        </w:r>
      </w:fldSimple>
      <w:r>
        <w:t xml:space="preserve">, Food For Mzansi carries strong agricultural and food industry digital reach, and SME South Africa targets the entrepreneur audience that RFC’s R638 and COA content aims to capture. Each guest post should target a specific practical topic —</w:t>
      </w:r>
      <w:r>
        <w:t xml:space="preserve"> </w:t>
      </w:r>
      <w:r>
        <w:t xml:space="preserve">“</w:t>
      </w:r>
      <w:r>
        <w:t xml:space="preserve">5 R638 Compliance Mistakes That Shut Down Pretoria Restaurants</w:t>
      </w:r>
      <w:r>
        <w:t xml:space="preserve">”</w:t>
      </w:r>
      <w:r>
        <w:t xml:space="preserve"> </w:t>
      </w:r>
      <w:r>
        <w:t xml:space="preserve">or</w:t>
      </w:r>
      <w:r>
        <w:t xml:space="preserve"> </w:t>
      </w:r>
      <w:r>
        <w:t xml:space="preserve">“</w:t>
      </w:r>
      <w:r>
        <w:t xml:space="preserve">Preparing Your Gauteng Food Business for FSSC 22000 V7 Transition</w:t>
      </w:r>
      <w:r>
        <w:t xml:space="preserve">”</w:t>
      </w:r>
      <w:r>
        <w:t xml:space="preserve"> </w:t>
      </w:r>
      <w:r>
        <w:t xml:space="preserve">— with a natural author bio link to rfcsa.co.za.</w:t>
      </w:r>
    </w:p>
    <w:p>
      <w:pPr>
        <w:pStyle w:val="BodyText"/>
      </w:pPr>
      <w:r>
        <w:t xml:space="preserve">Partnership-based links create reciprocal value with complementary service providers. Pest control companies, commercial cleaning services, food equipment suppliers, and packaging providers serve the same food business client base but offer non-competing services. RFC should identify five to ten such businesses in Pretoria and Johannesburg, proposing formal referral partnerships with reciprocal website links on dedicated partner pages. These links carry strong local relevance signals because they connect businesses within the same geographic market and industry vertical.</w:t>
      </w:r>
    </w:p>
    <w:p>
      <w:pPr>
        <w:pStyle w:val="BodyText"/>
      </w:pPr>
      <w:r>
        <w:t xml:space="preserve">Municipal website links are the highest-authority but most difficult to secure. Some South African municipalities maintain lists of approved food safety training providers for their Environmental Health Departments. RFC should proactively contact the City of Tshwane, City of Johannesburg, and Ekurhuleni Environmental Health offices regarding inclusion on any approved provider registers</w:t>
      </w:r>
      <w:r>
        <w:t xml:space="preserve"> </w:t>
      </w:r>
      <w:fldSimple w:instr="NOTEREF _Ref_Footnote_62 \h \f">
        <w:r>
          <w:rPr>
            <w:vertAlign w:val="superscript"/>
          </w:rPr>
          <w:t>62</w:t>
        </w:r>
      </w:fldSimple>
      <w:r>
        <w:t xml:space="preserve"> </w:t>
      </w:r>
      <w:r>
        <w:rPr>
          <w:vertAlign w:val="superscript"/>
        </w:rPr>
        <w:footnoteReference w:id="66"/>
      </w:r>
      <w:r>
        <w:t xml:space="preserve">. Even a single .gov.za backlink can materially improve domain authority for a small business website. The FSSC 22000 V7 transition provides an immediate press release opportunity: announcing</w:t>
      </w:r>
      <w:r>
        <w:t xml:space="preserve"> </w:t>
      </w:r>
      <w:r>
        <w:t xml:space="preserve">“</w:t>
      </w:r>
      <w:r>
        <w:t xml:space="preserve">Pretoria’s First SAATCA-Accredited FSSC 22000 V7 Transition Training Course</w:t>
      </w:r>
      <w:r>
        <w:t xml:space="preserve">”</w:t>
      </w:r>
      <w:r>
        <w:t xml:space="preserve"> </w:t>
      </w:r>
      <w:r>
        <w:t xml:space="preserve">through local media and industry newsletters can generate short-term backlink spikes. Sustained across six months, these activities should increase RFC’s referring domain count to 30–50 quality domains — the threshold at which meaningful ranking improvements for competitive keywords typically materialise.</w:t>
      </w:r>
      <w:r>
        <w:t xml:space="preserve"> </w:t>
      </w:r>
      <w:r>
        <w:t xml:space="preserve">-e</w:t>
      </w:r>
    </w:p>
    <w:bookmarkEnd w:id="84"/>
    <w:bookmarkEnd w:id="85"/>
    <w:bookmarkStart w:id="100" w:name="website-redesign-recommendations"/>
    <w:p>
      <w:pPr>
        <w:pStyle w:val="Heading2"/>
      </w:pPr>
      <w:r>
        <w:t xml:space="preserve">4. Website Redesign Recommendations</w:t>
      </w:r>
    </w:p>
    <w:p>
      <w:pPr>
        <w:pStyle w:val="FirstParagraph"/>
      </w:pPr>
      <w:r>
        <w:t xml:space="preserve">The preceding SEO strategy chapter established the keywords, content clusters, and technical fixes RFC needs to compete with ASC Food Safety Consultants, Entecom, and other players in South Africa’s food safety market. This chapter translates that strategy into concrete redesign specifications for rfcsa.co.za and rfcacademy.co.za — specifications grounded in competitor benchmarks, South African digital usage data, and documented conversion-rate research. The objective is a lead-generation infrastructure that captures the country’s 50.8 million internet users, of whom 98.3 percent access the web primarily via mobile devices</w:t>
      </w:r>
      <w:r>
        <w:t xml:space="preserve"> </w:t>
      </w:r>
      <w:fldSimple w:instr="NOTEREF _Ref_Footnote_5 \h \f">
        <w:r>
          <w:rPr>
            <w:vertAlign w:val="superscript"/>
          </w:rPr>
          <w:t>5</w:t>
        </w:r>
      </w:fldSimple>
      <w:r>
        <w:t xml:space="preserve">.</w:t>
      </w:r>
    </w:p>
    <w:p>
      <w:r>
        <w:pict>
          <v:rect style="width:0;height:1.5pt" o:hralign="center" o:hrstd="t" o:hr="t"/>
        </w:pict>
      </w:r>
    </w:p>
    <w:bookmarkStart w:id="91" w:name="rfcsa.co.za-redesign-priorities"/>
    <w:p>
      <w:pPr>
        <w:pStyle w:val="Heading3"/>
      </w:pPr>
      <w:r>
        <w:t xml:space="preserve">4.1 rfcsa.co.za Redesign Priorities</w:t>
      </w:r>
    </w:p>
    <w:p>
      <w:pPr>
        <w:pStyle w:val="FirstParagraph"/>
      </w:pPr>
      <w:r>
        <w:t xml:space="preserve">The current rfcsa.co.za site presents an immediate obstacle to growth. Its dark-green theme is visually dated, the layout is not fully responsive, and the homepage buries its value proposition beneath a generic hero image. Competitor ASC Food Safety Consultants uses a clean, modern interface with multiple calls-to-action (CTAs) per page, FAQ sections, and city-specific landing pages that dominate local search</w:t>
      </w:r>
      <w:r>
        <w:t xml:space="preserve"> </w:t>
      </w:r>
      <w:fldSimple w:instr="NOTEREF _Ref_Footnote_9 \h \f">
        <w:r>
          <w:rPr>
            <w:vertAlign w:val="superscript"/>
          </w:rPr>
          <w:t>9</w:t>
        </w:r>
      </w:fldSimple>
      <w:r>
        <w:t xml:space="preserve">. Shilux deploys a polished site with prominent click-to-WhatsApp integration that converts mobile visitors at higher rates</w:t>
      </w:r>
      <w:r>
        <w:t xml:space="preserve"> </w:t>
      </w:r>
      <w:fldSimple w:instr="NOTEREF _Ref_Footnote_23 \h \f">
        <w:r>
          <w:rPr>
            <w:vertAlign w:val="superscript"/>
          </w:rPr>
          <w:t>23</w:t>
        </w:r>
      </w:fldSimple>
      <w:r>
        <w:t xml:space="preserve">. RFC cannot close this gap with incremental edits; the site needs structural reconstruction.</w:t>
      </w:r>
    </w:p>
    <w:bookmarkStart w:id="86" w:name="X2dd753e0d4a547bc80aaed57a13379dd412c20a"/>
    <w:p>
      <w:pPr>
        <w:pStyle w:val="Heading4"/>
      </w:pPr>
      <w:r>
        <w:t xml:space="preserve">4.1.1 Modern Responsive Design: Mobile-First CSS Framework, Sub-3-Second Load Time, WebP Images</w:t>
      </w:r>
    </w:p>
    <w:p>
      <w:pPr>
        <w:pStyle w:val="FirstParagraph"/>
      </w:pPr>
      <w:r>
        <w:t xml:space="preserve">South Africa’s mobile landscape demands a mobile-first approach. With 124 million active cellular connections — equivalent to 193 percent of the population — and 97.5 percent now on broadband networks</w:t>
      </w:r>
      <w:r>
        <w:t xml:space="preserve"> </w:t>
      </w:r>
      <w:fldSimple w:instr="NOTEREF _Ref_Footnote_52 \h \f">
        <w:r>
          <w:rPr>
            <w:vertAlign w:val="superscript"/>
          </w:rPr>
          <w:t>52</w:t>
        </w:r>
      </w:fldSimple>
      <w:r>
        <w:t xml:space="preserve">, business decision-makers increasingly research suppliers on smartphones. Africa leads the world in mobile internet traffic share at 69.13 percent</w:t>
      </w:r>
      <w:r>
        <w:t xml:space="preserve"> </w:t>
      </w:r>
      <w:fldSimple w:instr="NOTEREF _Ref_Footnote_5 \h \f">
        <w:r>
          <w:rPr>
            <w:vertAlign w:val="superscript"/>
          </w:rPr>
          <w:t>5</w:t>
        </w:r>
      </w:fldSimple>
      <w:r>
        <w:t xml:space="preserve">, meaning a desktop-first design actively alienates the majority of RFC’s potential audience.</w:t>
      </w:r>
    </w:p>
    <w:p>
      <w:pPr>
        <w:pStyle w:val="BodyText"/>
      </w:pPr>
      <w:r>
        <w:t xml:space="preserve">The rebuild should use a modern CSS framework such as Tailwind CSS or Bootstrap 5, but framework selection matters less than performance outcomes. Google data shows 53 percent of mobile visits are abandoned if a page takes longer than three seconds to load</w:t>
      </w:r>
      <w:r>
        <w:t xml:space="preserve"> </w:t>
      </w:r>
      <w:fldSimple w:instr="NOTEREF _Ref_Footnote_43 \h \f">
        <w:r>
          <w:rPr>
            <w:vertAlign w:val="superscript"/>
          </w:rPr>
          <w:t>43</w:t>
        </w:r>
      </w:fldSimple>
      <w:r>
        <w:t xml:space="preserve">, and B2B websites loading in one second achieve conversion rates three times higher than those loading in five seconds</w:t>
      </w:r>
      <w:r>
        <w:t xml:space="preserve"> </w:t>
      </w:r>
      <w:r>
        <w:rPr>
          <w:vertAlign w:val="superscript"/>
        </w:rPr>
        <w:footnoteReference w:id="67"/>
      </w:r>
      <w:r>
        <w:t xml:space="preserve">. For RFC, where a single consulting engagement can be worth tens of thousands of rand, each additional second of load time represents measurable revenue loss.</w:t>
      </w:r>
    </w:p>
    <w:p>
      <w:pPr>
        <w:pStyle w:val="BodyText"/>
      </w:pPr>
      <w:r>
        <w:t xml:space="preserve">Image compression is particularly critical. Migrating all images to WebP format reduces file sizes by 30 to 50 percent without perceptible quality loss, and should be paired with lazy loading so below-the-fold images only load on scroll</w:t>
      </w:r>
      <w:r>
        <w:t xml:space="preserve"> </w:t>
      </w:r>
      <w:fldSimple w:instr="NOTEREF _Ref_Footnote_3 \h \f">
        <w:r>
          <w:rPr>
            <w:vertAlign w:val="superscript"/>
          </w:rPr>
          <w:t>3</w:t>
        </w:r>
      </w:fldSimple>
      <w:r>
        <w:t xml:space="preserve">. A Content Delivery Network such as Cloudflare should serve assets from edge nodes closer to South African users, reducing latency for visitors in Durban and Cape Town. Render-blocking JavaScript and CSS should be deferred or inlined, and server response time must be driven below 200 milliseconds. These are minimum standards for competing with ASC and Entecom, both of whom maintain performant, modern web experiences</w:t>
      </w:r>
      <w:r>
        <w:t xml:space="preserve"> </w:t>
      </w:r>
      <w:fldSimple w:instr="NOTEREF _Ref_Footnote_9 \h \f">
        <w:r>
          <w:rPr>
            <w:vertAlign w:val="superscript"/>
          </w:rPr>
          <w:t>9</w:t>
        </w:r>
      </w:fldSimple>
      <w:r>
        <w:t xml:space="preserve"> </w:t>
      </w:r>
      <w:fldSimple w:instr="NOTEREF _Ref_Footnote_36 \h \f">
        <w:r>
          <w:rPr>
            <w:vertAlign w:val="superscript"/>
          </w:rPr>
          <w:t>36</w:t>
        </w:r>
      </w:fldSimple>
      <w:r>
        <w:t xml:space="preserve">.</w:t>
      </w:r>
    </w:p>
    <w:bookmarkEnd w:id="86"/>
    <w:bookmarkStart w:id="87" w:name="Xc1d5e11ddb42f54e13dbba890a42f6eb2d64967"/>
    <w:p>
      <w:pPr>
        <w:pStyle w:val="Heading4"/>
      </w:pPr>
      <w:r>
        <w:t xml:space="preserve">4.1.2 Homepage Restructuring: Hero Value Proposition, Prominent CTAs, Trust Indicators, Service Overview</w:t>
      </w:r>
    </w:p>
    <w:p>
      <w:pPr>
        <w:pStyle w:val="FirstParagraph"/>
      </w:pPr>
      <w:r>
        <w:t xml:space="preserve">The current homepage opens with the heading</w:t>
      </w:r>
      <w:r>
        <w:t xml:space="preserve"> </w:t>
      </w:r>
      <w:r>
        <w:t xml:space="preserve">“</w:t>
      </w:r>
      <w:r>
        <w:t xml:space="preserve">RFC Comply Cloud</w:t>
      </w:r>
      <w:r>
        <w:t xml:space="preserve">”</w:t>
      </w:r>
      <w:r>
        <w:t xml:space="preserve"> </w:t>
      </w:r>
      <w:r>
        <w:t xml:space="preserve">— a product-centric message that does not communicate what RFC does or why a visitor should care. ASC leads with</w:t>
      </w:r>
      <w:r>
        <w:t xml:space="preserve"> </w:t>
      </w:r>
      <w:r>
        <w:t xml:space="preserve">“</w:t>
      </w:r>
      <w:r>
        <w:t xml:space="preserve">Food Safety Consultants South Africa</w:t>
      </w:r>
      <w:r>
        <w:t xml:space="preserve">”</w:t>
      </w:r>
      <w:r>
        <w:t xml:space="preserve"> </w:t>
      </w:r>
      <w:r>
        <w:t xml:space="preserve">and immediate CTAs for</w:t>
      </w:r>
      <w:r>
        <w:t xml:space="preserve"> </w:t>
      </w:r>
      <w:r>
        <w:t xml:space="preserve">“</w:t>
      </w:r>
      <w:r>
        <w:t xml:space="preserve">Speak to ASC</w:t>
      </w:r>
      <w:r>
        <w:t xml:space="preserve">”</w:t>
      </w:r>
      <w:r>
        <w:t xml:space="preserve"> </w:t>
      </w:r>
      <w:r>
        <w:t xml:space="preserve">and</w:t>
      </w:r>
      <w:r>
        <w:t xml:space="preserve"> </w:t>
      </w:r>
      <w:r>
        <w:t xml:space="preserve">“</w:t>
      </w:r>
      <w:r>
        <w:t xml:space="preserve">Explore Our Services</w:t>
      </w:r>
      <w:r>
        <w:t xml:space="preserve">”</w:t>
      </w:r>
      <w:r>
        <w:t xml:space="preserve"> </w:t>
      </w:r>
      <w:fldSimple w:instr="NOTEREF _Ref_Footnote_9 \h \f">
        <w:r>
          <w:rPr>
            <w:vertAlign w:val="superscript"/>
          </w:rPr>
          <w:t>9</w:t>
        </w:r>
      </w:fldSimple>
      <w:r>
        <w:t xml:space="preserve">. Entecom uses</w:t>
      </w:r>
      <w:r>
        <w:t xml:space="preserve"> </w:t>
      </w:r>
      <w:r>
        <w:t xml:space="preserve">“</w:t>
      </w:r>
      <w:r>
        <w:t xml:space="preserve">Food Safety Training &amp; Consulting</w:t>
      </w:r>
      <w:r>
        <w:t xml:space="preserve">”</w:t>
      </w:r>
      <w:r>
        <w:t xml:space="preserve"> </w:t>
      </w:r>
      <w:r>
        <w:t xml:space="preserve">with a prominent</w:t>
      </w:r>
      <w:r>
        <w:t xml:space="preserve"> </w:t>
      </w:r>
      <w:r>
        <w:t xml:space="preserve">“</w:t>
      </w:r>
      <w:r>
        <w:t xml:space="preserve">Request a Callback</w:t>
      </w:r>
      <w:r>
        <w:t xml:space="preserve">”</w:t>
      </w:r>
      <w:r>
        <w:t xml:space="preserve"> </w:t>
      </w:r>
      <w:r>
        <w:t xml:space="preserve">widget</w:t>
      </w:r>
      <w:r>
        <w:t xml:space="preserve"> </w:t>
      </w:r>
      <w:fldSimple w:instr="NOTEREF _Ref_Footnote_36 \h \f">
        <w:r>
          <w:rPr>
            <w:vertAlign w:val="superscript"/>
          </w:rPr>
          <w:t>36</w:t>
        </w:r>
      </w:fldSimple>
      <w:r>
        <w:t xml:space="preserve">.</w:t>
      </w:r>
    </w:p>
    <w:p>
      <w:pPr>
        <w:pStyle w:val="BodyText"/>
      </w:pPr>
      <w:r>
        <w:t xml:space="preserve">RFC’s redesigned homepage should follow this architecture: a headline such as</w:t>
      </w:r>
      <w:r>
        <w:t xml:space="preserve"> </w:t>
      </w:r>
      <w:r>
        <w:t xml:space="preserve">“</w:t>
      </w:r>
      <w:r>
        <w:t xml:space="preserve">Food Safety Training &amp; Consulting That Keeps Your Business Compliant</w:t>
      </w:r>
      <w:r>
        <w:t xml:space="preserve">”</w:t>
      </w:r>
      <w:r>
        <w:t xml:space="preserve"> </w:t>
      </w:r>
      <w:r>
        <w:t xml:space="preserve">that incorporates high-intent keywords while answering the visitor’s implicit question. The subheadline should add specificity —</w:t>
      </w:r>
      <w:r>
        <w:t xml:space="preserve"> </w:t>
      </w:r>
      <w:r>
        <w:t xml:space="preserve">“</w:t>
      </w:r>
      <w:r>
        <w:t xml:space="preserve">SAATCA-accredited R638, HACCP, and FSSC 22000 training delivered across Pretoria, Johannesburg, and Cape Town</w:t>
      </w:r>
      <w:r>
        <w:t xml:space="preserve">”</w:t>
      </w:r>
      <w:r>
        <w:t xml:space="preserve"> </w:t>
      </w:r>
      <w:r>
        <w:t xml:space="preserve">— with two CTA buttons: a primary</w:t>
      </w:r>
      <w:r>
        <w:t xml:space="preserve"> </w:t>
      </w:r>
      <w:r>
        <w:t xml:space="preserve">“</w:t>
      </w:r>
      <w:r>
        <w:t xml:space="preserve">Explore Our Courses</w:t>
      </w:r>
      <w:r>
        <w:t xml:space="preserve">”</w:t>
      </w:r>
      <w:r>
        <w:t xml:space="preserve"> </w:t>
      </w:r>
      <w:r>
        <w:t xml:space="preserve">linking to rfcacademy.co.za and a secondary</w:t>
      </w:r>
      <w:r>
        <w:t xml:space="preserve"> </w:t>
      </w:r>
      <w:r>
        <w:t xml:space="preserve">“</w:t>
      </w:r>
      <w:r>
        <w:t xml:space="preserve">Book a Free Consultation.</w:t>
      </w:r>
      <w:r>
        <w:t xml:space="preserve">”</w:t>
      </w:r>
    </w:p>
    <w:p>
      <w:pPr>
        <w:pStyle w:val="BodyText"/>
      </w:pPr>
      <w:r>
        <w:t xml:space="preserve">Trust indicators must appear immediately below the hero: the SAATCA accreditation badge (FSM Reg No: 066), the founding year (2013), client logos, and a</w:t>
      </w:r>
      <w:r>
        <w:t xml:space="preserve"> </w:t>
      </w:r>
      <w:r>
        <w:t xml:space="preserve">“</w:t>
      </w:r>
      <w:r>
        <w:t xml:space="preserve">Proudly South African</w:t>
      </w:r>
      <w:r>
        <w:t xml:space="preserve">”</w:t>
      </w:r>
      <w:r>
        <w:t xml:space="preserve"> </w:t>
      </w:r>
      <w:r>
        <w:t xml:space="preserve">identifier. Seventy percent of small business websites lack any call to action</w:t>
      </w:r>
      <w:r>
        <w:t xml:space="preserve"> </w:t>
      </w:r>
      <w:fldSimple w:instr="NOTEREF _Ref_Footnote_7 \h \f">
        <w:r>
          <w:rPr>
            <w:vertAlign w:val="superscript"/>
          </w:rPr>
          <w:t>7</w:t>
        </w:r>
      </w:fldSimple>
      <w:r>
        <w:t xml:space="preserve">, and RFC’s current site suffers from this same deficit. The redesigned homepage should feature no fewer than five distinct CTA opportunities across the page. The service overview section should present the five core offerings — Food Safety Management System Development, Training, Internal and Pre-Audit Assessments, Retail and Food Service Assessments, and Labelling/Product Audits — as clickable cards linking to dedicated landing pages, a pattern ASC uses to distribute link equity to deeper pages</w:t>
      </w:r>
      <w:r>
        <w:t xml:space="preserve"> </w:t>
      </w:r>
      <w:fldSimple w:instr="NOTEREF _Ref_Footnote_9 \h \f">
        <w:r>
          <w:rPr>
            <w:vertAlign w:val="superscript"/>
          </w:rPr>
          <w:t>9</w:t>
        </w:r>
      </w:fldSimple>
      <w:r>
        <w:t xml:space="preserve">.</w:t>
      </w:r>
    </w:p>
    <w:bookmarkEnd w:id="87"/>
    <w:bookmarkStart w:id="88" w:name="Xc2e229075831839afd56bf2d7b096df388713ac"/>
    <w:p>
      <w:pPr>
        <w:pStyle w:val="Heading4"/>
      </w:pPr>
      <w:r>
        <w:t xml:space="preserve">4.1.3 Lead Capture Integration: Exit-Intent Popups, Newsletter Signup, Free Consultation Booking, WhatsApp Click-to-Chat</w:t>
      </w:r>
    </w:p>
    <w:p>
      <w:pPr>
        <w:pStyle w:val="FirstParagraph"/>
      </w:pPr>
      <w:r>
        <w:t xml:space="preserve">Few food safety competitors use sophisticated lead capture mechanisms, representing a significant first-mover opportunity for RFC</w:t>
      </w:r>
      <w:r>
        <w:t xml:space="preserve"> </w:t>
      </w:r>
      <w:fldSimple w:instr="NOTEREF _Ref_Footnote_3 \h \f">
        <w:r>
          <w:rPr>
            <w:vertAlign w:val="superscript"/>
          </w:rPr>
          <w:t>3</w:t>
        </w:r>
      </w:fldSimple>
      <w:r>
        <w:t xml:space="preserve">. An exit-intent popup should offer the</w:t>
      </w:r>
      <w:r>
        <w:t xml:space="preserve"> </w:t>
      </w:r>
      <w:r>
        <w:t xml:space="preserve">“</w:t>
      </w:r>
      <w:r>
        <w:t xml:space="preserve">Free R638 Compliance Checklist</w:t>
      </w:r>
      <w:r>
        <w:t xml:space="preserve">”</w:t>
      </w:r>
      <w:r>
        <w:t xml:space="preserve"> </w:t>
      </w:r>
      <w:r>
        <w:t xml:space="preserve">lead magnet identified in keyword research as a high-search-volume, low-competition asset, requiring only an email address and business type. Lead-generation research shows pages loading within one second turn 39 percent of visitors into form fillers; at three seconds, that drops to 29 percent</w:t>
      </w:r>
      <w:r>
        <w:t xml:space="preserve"> </w:t>
      </w:r>
      <w:r>
        <w:rPr>
          <w:vertAlign w:val="superscript"/>
        </w:rPr>
        <w:footnoteReference w:id="68"/>
      </w:r>
      <w:r>
        <w:t xml:space="preserve">, underscoring why the popup form must be lightweight.</w:t>
      </w:r>
    </w:p>
    <w:p>
      <w:pPr>
        <w:pStyle w:val="BodyText"/>
      </w:pPr>
      <w:r>
        <w:t xml:space="preserve">The newsletter signup should appear in three locations: the blog sidebar (once launched), the footer, and a homepage section. Free consultation booking requires calendar integration with Calendly or Microsoft Bookings, allowing prospects to select a 15-minute video call slot. WhatsApp click-to-chat is non-negotiable — Shilux uses prominent click-to-WhatsApp buttons</w:t>
      </w:r>
      <w:r>
        <w:t xml:space="preserve"> </w:t>
      </w:r>
      <w:fldSimple w:instr="NOTEREF _Ref_Footnote_23 \h \f">
        <w:r>
          <w:rPr>
            <w:vertAlign w:val="superscript"/>
          </w:rPr>
          <w:t>23</w:t>
        </w:r>
      </w:fldSimple>
      <w:r>
        <w:t xml:space="preserve">, and the academy site already includes a WhatsApp link</w:t>
      </w:r>
      <w:r>
        <w:t xml:space="preserve"> </w:t>
      </w:r>
      <w:fldSimple w:instr="NOTEREF _Ref_Footnote_26 \h \f">
        <w:r>
          <w:rPr>
            <w:vertAlign w:val="superscript"/>
          </w:rPr>
          <w:t>26</w:t>
        </w:r>
      </w:fldSimple>
      <w:r>
        <w:t xml:space="preserve">. The consulting site should add a floating WhatsApp button on every page, pre-populated with a message such as</w:t>
      </w:r>
      <w:r>
        <w:t xml:space="preserve"> </w:t>
      </w:r>
      <w:r>
        <w:t xml:space="preserve">“</w:t>
      </w:r>
      <w:r>
        <w:t xml:space="preserve">Hi, I’m interested in food safety consulting services.</w:t>
      </w:r>
      <w:r>
        <w:t xml:space="preserve">”</w:t>
      </w:r>
      <w:r>
        <w:t xml:space="preserve"> </w:t>
      </w:r>
      <w:r>
        <w:t xml:space="preserve">Given WhatsApp’s dominance in South Africa, this feature can increase mobile enquiry rates by 20 to 40 percent compared to traditional contact forms alone.</w:t>
      </w:r>
    </w:p>
    <w:bookmarkEnd w:id="88"/>
    <w:bookmarkStart w:id="89" w:name="X1302cab33ae93bdfb5bd483a16105e4d6f3d7f1"/>
    <w:p>
      <w:pPr>
        <w:pStyle w:val="Heading4"/>
      </w:pPr>
      <w:r>
        <w:t xml:space="preserve">4.1.4 Service Page Enhancement: Dedicated Landing Pages per Service, FAQ Sections, Testimonials, Related Course Links</w:t>
      </w:r>
    </w:p>
    <w:p>
      <w:pPr>
        <w:pStyle w:val="FirstParagraph"/>
      </w:pPr>
      <w:r>
        <w:t xml:space="preserve">Each of RFC’s five service lines requires its own optimized landing page. The current Services page lists all offerings on a single URL, diluting keyword targeting. ASC maintains individual pages for each service category with comprehensive descriptions, FAQ schema markup, and related article cross-linking</w:t>
      </w:r>
      <w:r>
        <w:t xml:space="preserve"> </w:t>
      </w:r>
      <w:fldSimple w:instr="NOTEREF _Ref_Footnote_9 \h \f">
        <w:r>
          <w:rPr>
            <w:vertAlign w:val="superscript"/>
          </w:rPr>
          <w:t>9</w:t>
        </w:r>
      </w:fldSimple>
      <w:r>
        <w:t xml:space="preserve">.</w:t>
      </w:r>
    </w:p>
    <w:p>
      <w:pPr>
        <w:pStyle w:val="BodyText"/>
      </w:pPr>
      <w:r>
        <w:t xml:space="preserve">Every service landing page should follow a standardized structure: a keyword-rich headline (e.g.,</w:t>
      </w:r>
      <w:r>
        <w:t xml:space="preserve"> </w:t>
      </w:r>
      <w:r>
        <w:t xml:space="preserve">“</w:t>
      </w:r>
      <w:r>
        <w:t xml:space="preserve">HACCP Training in Pretoria | SAATCA-Accredited | RFC</w:t>
      </w:r>
      <w:r>
        <w:t xml:space="preserve">”</w:t>
      </w:r>
      <w:r>
        <w:t xml:space="preserve">), bullet-point benefits, methodology description, pricing or</w:t>
      </w:r>
      <w:r>
        <w:t xml:space="preserve"> </w:t>
      </w:r>
      <w:r>
        <w:t xml:space="preserve">“</w:t>
      </w:r>
      <w:r>
        <w:t xml:space="preserve">Request a Quote</w:t>
      </w:r>
      <w:r>
        <w:t xml:space="preserve">”</w:t>
      </w:r>
      <w:r>
        <w:t xml:space="preserve"> </w:t>
      </w:r>
      <w:r>
        <w:t xml:space="preserve">CTA, and a structured FAQ section of at least five questions. The FAQ addresses objections while implementing FAQPage schema markup that can trigger rich snippets — a visibility advantage Entecom and ASC both exploit</w:t>
      </w:r>
      <w:r>
        <w:t xml:space="preserve"> </w:t>
      </w:r>
      <w:fldSimple w:instr="NOTEREF _Ref_Footnote_9 \h \f">
        <w:r>
          <w:rPr>
            <w:vertAlign w:val="superscript"/>
          </w:rPr>
          <w:t>9</w:t>
        </w:r>
      </w:fldSimple>
      <w:r>
        <w:t xml:space="preserve"> </w:t>
      </w:r>
      <w:fldSimple w:instr="NOTEREF _Ref_Footnote_36 \h \f">
        <w:r>
          <w:rPr>
            <w:vertAlign w:val="superscript"/>
          </w:rPr>
          <w:t>36</w:t>
        </w:r>
      </w:fldSimple>
      <w:r>
        <w:t xml:space="preserve">. Testimonials should be service-specific; the current homepage features a strong testimonial from Fortuna Foods</w:t>
      </w:r>
      <w:r>
        <w:t xml:space="preserve"> </w:t>
      </w:r>
      <w:fldSimple w:instr="NOTEREF _Ref_Footnote_3 \h \f">
        <w:r>
          <w:rPr>
            <w:vertAlign w:val="superscript"/>
          </w:rPr>
          <w:t>3</w:t>
        </w:r>
      </w:fldSimple>
      <w:r>
        <w:t xml:space="preserve">that should appear on the Internal Audit and Training pages respectively. Each service page should cross-link to related courses on rfcacademy.co.za, creating a bridge between consulting prospects and training enrolments.</w:t>
      </w:r>
    </w:p>
    <w:bookmarkEnd w:id="89"/>
    <w:bookmarkStart w:id="90" w:name="Xc10b7947510f2d8c9e2f3df9602cd739dbea13d"/>
    <w:p>
      <w:pPr>
        <w:pStyle w:val="Heading4"/>
      </w:pPr>
      <w:r>
        <w:t xml:space="preserve">4.1.5 City Landing Pages: Pretoria, Johannesburg, Cape Town, Durban with Local-Specific Content</w:t>
      </w:r>
    </w:p>
    <w:p>
      <w:pPr>
        <w:pStyle w:val="FirstParagraph"/>
      </w:pPr>
      <w:r>
        <w:t xml:space="preserve">Local SEO represents one of RFC’s highest-ROI opportunities because most competitors under-optimize for city-specific keywords. ASC focuses on Gqeberha, Randburg, and Cape Town</w:t>
      </w:r>
      <w:r>
        <w:t xml:space="preserve"> </w:t>
      </w:r>
      <w:fldSimple w:instr="NOTEREF _Ref_Footnote_9 \h \f">
        <w:r>
          <w:rPr>
            <w:vertAlign w:val="superscript"/>
          </w:rPr>
          <w:t>9</w:t>
        </w:r>
      </w:fldSimple>
      <w:r>
        <w:t xml:space="preserve">, leaving gaps in Pretoria and Durban that RFC can exploit. Keyword research identified clear volume for</w:t>
      </w:r>
      <w:r>
        <w:t xml:space="preserve"> </w:t>
      </w:r>
      <w:r>
        <w:t xml:space="preserve">“</w:t>
      </w:r>
      <w:r>
        <w:t xml:space="preserve">food safety training Pretoria</w:t>
      </w:r>
      <w:r>
        <w:t xml:space="preserve">”</w:t>
      </w:r>
      <w:r>
        <w:t xml:space="preserve"> </w:t>
      </w:r>
      <w:r>
        <w:t xml:space="preserve">(50-100 monthly searches, low competition) and</w:t>
      </w:r>
      <w:r>
        <w:t xml:space="preserve"> </w:t>
      </w:r>
      <w:r>
        <w:t xml:space="preserve">“</w:t>
      </w:r>
      <w:r>
        <w:t xml:space="preserve">food safety training Johannesburg</w:t>
      </w:r>
      <w:r>
        <w:t xml:space="preserve">”</w:t>
      </w:r>
      <w:r>
        <w:t xml:space="preserve"> </w:t>
      </w:r>
      <w:r>
        <w:t xml:space="preserve">(50-100 monthly, low competition)</w:t>
      </w:r>
      <w:r>
        <w:t xml:space="preserve"> </w:t>
      </w:r>
      <w:fldSimple w:instr="NOTEREF _Ref_Footnote_3 \h \f">
        <w:r>
          <w:rPr>
            <w:vertAlign w:val="superscript"/>
          </w:rPr>
          <w:t>3</w:t>
        </w:r>
      </w:fldSimple>
      <w:r>
        <w:t xml:space="preserve">.</w:t>
      </w:r>
    </w:p>
    <w:p>
      <w:pPr>
        <w:pStyle w:val="BodyText"/>
      </w:pPr>
      <w:r>
        <w:t xml:space="preserve">RFC should create dedicated pages for /pretoria/, /johannesburg/, /capetown/, and /durban/. Each page must include city-specific content beyond template swapping: Pretoria pages should reference Gauteng municipality by-laws, Cape Town pages should address Western Cape provincial regulations, and Durban pages should reference eThekwini Municipality’s Certificate of Acceptability process</w:t>
      </w:r>
      <w:r>
        <w:t xml:space="preserve"> </w:t>
      </w:r>
      <w:fldSimple w:instr="NOTEREF _Ref_Footnote_66 \h \f">
        <w:r>
          <w:rPr>
            <w:vertAlign w:val="superscript"/>
          </w:rPr>
          <w:t>66</w:t>
        </w:r>
      </w:fldSimple>
      <w:r>
        <w:t xml:space="preserve">. Each page should embed a Google Map and include LocalBusiness schema markup specifying the served area. These pages capture the 30 to 50 monthly searches for</w:t>
      </w:r>
      <w:r>
        <w:t xml:space="preserve"> </w:t>
      </w:r>
      <w:r>
        <w:t xml:space="preserve">“</w:t>
      </w:r>
      <w:r>
        <w:t xml:space="preserve">food safety consulting Pretoria</w:t>
      </w:r>
      <w:r>
        <w:t xml:space="preserve">”</w:t>
      </w:r>
      <w:r>
        <w:t xml:space="preserve"> </w:t>
      </w:r>
      <w:r>
        <w:t xml:space="preserve">and related terms currently going to competitors</w:t>
      </w:r>
      <w:r>
        <w:t xml:space="preserve"> </w:t>
      </w:r>
      <w:fldSimple w:instr="NOTEREF _Ref_Footnote_3 \h \f">
        <w:r>
          <w:rPr>
            <w:vertAlign w:val="superscript"/>
          </w:rPr>
          <w:t>3</w:t>
        </w:r>
      </w:fldSimple>
      <w:r>
        <w:t xml:space="preserve">.</w:t>
      </w:r>
    </w:p>
    <w:tbl>
      <w:tblPr>
        <w:tblStyle w:val="Table"/>
        <w:tblW w:type="pct" w:w="5000"/>
        <w:tblLook w:firstRow="1" w:lastRow="0" w:firstColumn="0" w:lastColumn="0" w:noHBand="0" w:noVBand="0" w:val="0020"/>
      </w:tblPr>
      <w:tblGrid>
        <w:gridCol w:w="1100"/>
        <w:gridCol w:w="1870"/>
        <w:gridCol w:w="1650"/>
        <w:gridCol w:w="1540"/>
        <w:gridCol w:w="880"/>
        <w:gridCol w:w="880"/>
      </w:tblGrid>
      <w:tr>
        <w:trPr>
          <w:tblHeader w:val="true"/>
        </w:trPr>
        <w:tc>
          <w:tcPr/>
          <w:p>
            <w:pPr>
              <w:pStyle w:val="Compact"/>
              <w:jc w:val="left"/>
            </w:pPr>
            <w:r>
              <w:t xml:space="preserve">Priority</w:t>
            </w:r>
          </w:p>
        </w:tc>
        <w:tc>
          <w:tcPr/>
          <w:p>
            <w:pPr>
              <w:pStyle w:val="Compact"/>
              <w:jc w:val="left"/>
            </w:pPr>
            <w:r>
              <w:t xml:space="preserve">Redesign Element</w:t>
            </w:r>
          </w:p>
        </w:tc>
        <w:tc>
          <w:tcPr/>
          <w:p>
            <w:pPr>
              <w:pStyle w:val="Compact"/>
              <w:jc w:val="left"/>
            </w:pPr>
            <w:r>
              <w:t xml:space="preserve">Current State</w:t>
            </w:r>
          </w:p>
        </w:tc>
        <w:tc>
          <w:tcPr/>
          <w:p>
            <w:pPr>
              <w:pStyle w:val="Compact"/>
              <w:jc w:val="left"/>
            </w:pPr>
            <w:r>
              <w:t xml:space="preserve">Target State</w:t>
            </w:r>
          </w:p>
        </w:tc>
        <w:tc>
          <w:tcPr/>
          <w:p>
            <w:pPr>
              <w:pStyle w:val="Compact"/>
              <w:jc w:val="left"/>
            </w:pPr>
            <w:r>
              <w:t xml:space="preserve">Impact</w:t>
            </w:r>
          </w:p>
        </w:tc>
        <w:tc>
          <w:tcPr/>
          <w:p>
            <w:pPr>
              <w:pStyle w:val="Compact"/>
              <w:jc w:val="left"/>
            </w:pPr>
            <w:r>
              <w:t xml:space="preserve">Effort</w:t>
            </w:r>
          </w:p>
        </w:tc>
      </w:tr>
      <w:tr>
        <w:tc>
          <w:tcPr/>
          <w:p>
            <w:pPr>
              <w:pStyle w:val="Compact"/>
              <w:jc w:val="left"/>
            </w:pPr>
            <w:r>
              <w:t xml:space="preserve">Critical</w:t>
            </w:r>
          </w:p>
        </w:tc>
        <w:tc>
          <w:tcPr/>
          <w:p>
            <w:pPr>
              <w:pStyle w:val="Compact"/>
              <w:jc w:val="left"/>
            </w:pPr>
            <w:r>
              <w:t xml:space="preserve">Mobile responsive framework</w:t>
            </w:r>
          </w:p>
        </w:tc>
        <w:tc>
          <w:tcPr/>
          <w:p>
            <w:pPr>
              <w:pStyle w:val="Compact"/>
              <w:jc w:val="left"/>
            </w:pPr>
            <w:r>
              <w:t xml:space="preserve">Non-responsive, dated theme</w:t>
            </w:r>
            <w:r>
              <w:t xml:space="preserve"> </w:t>
            </w:r>
            <w:fldSimple w:instr="NOTEREF _Ref_Footnote_3 \h \f">
              <w:r>
                <w:rPr>
                  <w:vertAlign w:val="superscript"/>
                </w:rPr>
                <w:t>3</w:t>
              </w:r>
            </w:fldSimple>
          </w:p>
        </w:tc>
        <w:tc>
          <w:tcPr/>
          <w:p>
            <w:pPr>
              <w:pStyle w:val="Compact"/>
              <w:jc w:val="left"/>
            </w:pPr>
            <w:r>
              <w:t xml:space="preserve">Mobile-first CSS, &lt;3s load</w:t>
            </w:r>
          </w:p>
        </w:tc>
        <w:tc>
          <w:tcPr/>
          <w:p>
            <w:pPr>
              <w:pStyle w:val="Compact"/>
              <w:jc w:val="left"/>
            </w:pPr>
            <w:r>
              <w:t xml:space="preserve">3x conversion vs 5s load</w:t>
            </w:r>
            <w:r>
              <w:t xml:space="preserve"> </w:t>
            </w:r>
            <w:fldSimple w:instr="NOTEREF _Ref_Footnote_67 \h \f">
              <w:r>
                <w:rPr>
                  <w:vertAlign w:val="superscript"/>
                </w:rPr>
                <w:t>67</w:t>
              </w:r>
            </w:fldSimple>
          </w:p>
        </w:tc>
        <w:tc>
          <w:tcPr/>
          <w:p>
            <w:pPr>
              <w:pStyle w:val="Compact"/>
              <w:jc w:val="left"/>
            </w:pPr>
            <w:r>
              <w:t xml:space="preserve">High</w:t>
            </w:r>
          </w:p>
        </w:tc>
      </w:tr>
      <w:tr>
        <w:tc>
          <w:tcPr/>
          <w:p>
            <w:pPr>
              <w:pStyle w:val="Compact"/>
              <w:jc w:val="left"/>
            </w:pPr>
            <w:r>
              <w:t xml:space="preserve">Critical</w:t>
            </w:r>
          </w:p>
        </w:tc>
        <w:tc>
          <w:tcPr/>
          <w:p>
            <w:pPr>
              <w:pStyle w:val="Compact"/>
              <w:jc w:val="left"/>
            </w:pPr>
            <w:r>
              <w:t xml:space="preserve">Homepage restructuring</w:t>
            </w:r>
          </w:p>
        </w:tc>
        <w:tc>
          <w:tcPr/>
          <w:p>
            <w:pPr>
              <w:pStyle w:val="Compact"/>
              <w:jc w:val="left"/>
            </w:pPr>
            <w:r>
              <w:t xml:space="preserve">Product-centric hero</w:t>
            </w:r>
            <w:r>
              <w:t xml:space="preserve"> </w:t>
            </w:r>
            <w:fldSimple w:instr="NOTEREF _Ref_Footnote_3 \h \f">
              <w:r>
                <w:rPr>
                  <w:vertAlign w:val="superscript"/>
                </w:rPr>
                <w:t>3</w:t>
              </w:r>
            </w:fldSimple>
          </w:p>
        </w:tc>
        <w:tc>
          <w:tcPr/>
          <w:p>
            <w:pPr>
              <w:pStyle w:val="Compact"/>
              <w:jc w:val="left"/>
            </w:pPr>
            <w:r>
              <w:t xml:space="preserve">Value-prop headline, dual CTAs</w:t>
            </w:r>
          </w:p>
        </w:tc>
        <w:tc>
          <w:tcPr/>
          <w:p>
            <w:pPr>
              <w:pStyle w:val="Compact"/>
              <w:jc w:val="left"/>
            </w:pPr>
            <w:r>
              <w:t xml:space="preserve">Immediate lead capture lift</w:t>
            </w:r>
          </w:p>
        </w:tc>
        <w:tc>
          <w:tcPr/>
          <w:p>
            <w:pPr>
              <w:pStyle w:val="Compact"/>
              <w:jc w:val="left"/>
            </w:pPr>
            <w:r>
              <w:t xml:space="preserve">Medium</w:t>
            </w:r>
          </w:p>
        </w:tc>
      </w:tr>
      <w:tr>
        <w:tc>
          <w:tcPr/>
          <w:p>
            <w:pPr>
              <w:pStyle w:val="Compact"/>
              <w:jc w:val="left"/>
            </w:pPr>
            <w:r>
              <w:t xml:space="preserve">Critical</w:t>
            </w:r>
          </w:p>
        </w:tc>
        <w:tc>
          <w:tcPr/>
          <w:p>
            <w:pPr>
              <w:pStyle w:val="Compact"/>
              <w:jc w:val="left"/>
            </w:pPr>
            <w:r>
              <w:t xml:space="preserve">Lead capture integration</w:t>
            </w:r>
          </w:p>
        </w:tc>
        <w:tc>
          <w:tcPr/>
          <w:p>
            <w:pPr>
              <w:pStyle w:val="Compact"/>
              <w:jc w:val="left"/>
            </w:pPr>
            <w:r>
              <w:t xml:space="preserve">No exit-intent, basic contact form</w:t>
            </w:r>
          </w:p>
        </w:tc>
        <w:tc>
          <w:tcPr/>
          <w:p>
            <w:pPr>
              <w:pStyle w:val="Compact"/>
              <w:jc w:val="left"/>
            </w:pPr>
            <w:r>
              <w:t xml:space="preserve">Exit-intent, newsletter, calendar</w:t>
            </w:r>
          </w:p>
        </w:tc>
        <w:tc>
          <w:tcPr/>
          <w:p>
            <w:pPr>
              <w:pStyle w:val="Compact"/>
              <w:jc w:val="left"/>
            </w:pPr>
            <w:r>
              <w:t xml:space="preserve">15-25% checklist conversion</w:t>
            </w:r>
            <w:r>
              <w:t xml:space="preserve"> </w:t>
            </w:r>
            <w:fldSimple w:instr="NOTEREF _Ref_Footnote_3 \h \f">
              <w:r>
                <w:rPr>
                  <w:vertAlign w:val="superscript"/>
                </w:rPr>
                <w:t>3</w:t>
              </w:r>
            </w:fldSimple>
          </w:p>
        </w:tc>
        <w:tc>
          <w:tcPr/>
          <w:p>
            <w:pPr>
              <w:pStyle w:val="Compact"/>
              <w:jc w:val="left"/>
            </w:pPr>
            <w:r>
              <w:t xml:space="preserve">Medium</w:t>
            </w:r>
          </w:p>
        </w:tc>
      </w:tr>
      <w:tr>
        <w:tc>
          <w:tcPr/>
          <w:p>
            <w:pPr>
              <w:pStyle w:val="Compact"/>
              <w:jc w:val="left"/>
            </w:pPr>
            <w:r>
              <w:t xml:space="preserve">High</w:t>
            </w:r>
          </w:p>
        </w:tc>
        <w:tc>
          <w:tcPr/>
          <w:p>
            <w:pPr>
              <w:pStyle w:val="Compact"/>
              <w:jc w:val="left"/>
            </w:pPr>
            <w:r>
              <w:t xml:space="preserve">Service page enhancement</w:t>
            </w:r>
          </w:p>
        </w:tc>
        <w:tc>
          <w:tcPr/>
          <w:p>
            <w:pPr>
              <w:pStyle w:val="Compact"/>
              <w:jc w:val="left"/>
            </w:pPr>
            <w:r>
              <w:t xml:space="preserve">Single Services page</w:t>
            </w:r>
            <w:r>
              <w:t xml:space="preserve"> </w:t>
            </w:r>
            <w:fldSimple w:instr="NOTEREF _Ref_Footnote_3 \h \f">
              <w:r>
                <w:rPr>
                  <w:vertAlign w:val="superscript"/>
                </w:rPr>
                <w:t>3</w:t>
              </w:r>
            </w:fldSimple>
          </w:p>
        </w:tc>
        <w:tc>
          <w:tcPr/>
          <w:p>
            <w:pPr>
              <w:pStyle w:val="Compact"/>
              <w:jc w:val="left"/>
            </w:pPr>
            <w:r>
              <w:t xml:space="preserve">Dedicated page per service + FAQ</w:t>
            </w:r>
          </w:p>
        </w:tc>
        <w:tc>
          <w:tcPr/>
          <w:p>
            <w:pPr>
              <w:pStyle w:val="Compact"/>
              <w:jc w:val="left"/>
            </w:pPr>
            <w:r>
              <w:t xml:space="preserve">Better keyword targeting + snippets</w:t>
            </w:r>
          </w:p>
        </w:tc>
        <w:tc>
          <w:tcPr/>
          <w:p>
            <w:pPr>
              <w:pStyle w:val="Compact"/>
              <w:jc w:val="left"/>
            </w:pPr>
            <w:r>
              <w:t xml:space="preserve">Medium</w:t>
            </w:r>
          </w:p>
        </w:tc>
      </w:tr>
      <w:tr>
        <w:tc>
          <w:tcPr/>
          <w:p>
            <w:pPr>
              <w:pStyle w:val="Compact"/>
              <w:jc w:val="left"/>
            </w:pPr>
            <w:r>
              <w:t xml:space="preserve">High</w:t>
            </w:r>
          </w:p>
        </w:tc>
        <w:tc>
          <w:tcPr/>
          <w:p>
            <w:pPr>
              <w:pStyle w:val="Compact"/>
              <w:jc w:val="left"/>
            </w:pPr>
            <w:r>
              <w:t xml:space="preserve">City landing pages</w:t>
            </w:r>
          </w:p>
        </w:tc>
        <w:tc>
          <w:tcPr/>
          <w:p>
            <w:pPr>
              <w:pStyle w:val="Compact"/>
              <w:jc w:val="left"/>
            </w:pPr>
            <w:r>
              <w:t xml:space="preserve">None exist</w:t>
            </w:r>
            <w:r>
              <w:t xml:space="preserve"> </w:t>
            </w:r>
            <w:fldSimple w:instr="NOTEREF _Ref_Footnote_3 \h \f">
              <w:r>
                <w:rPr>
                  <w:vertAlign w:val="superscript"/>
                </w:rPr>
                <w:t>3</w:t>
              </w:r>
            </w:fldSimple>
          </w:p>
        </w:tc>
        <w:tc>
          <w:tcPr/>
          <w:p>
            <w:pPr>
              <w:pStyle w:val="Compact"/>
              <w:jc w:val="left"/>
            </w:pPr>
            <w:r>
              <w:t xml:space="preserve">Pretoria, JHB, CT, Durban pages</w:t>
            </w:r>
          </w:p>
        </w:tc>
        <w:tc>
          <w:tcPr/>
          <w:p>
            <w:pPr>
              <w:pStyle w:val="Compact"/>
              <w:jc w:val="left"/>
            </w:pPr>
            <w:r>
              <w:t xml:space="preserve">50-100 local searches/city</w:t>
            </w:r>
            <w:r>
              <w:t xml:space="preserve"> </w:t>
            </w:r>
            <w:fldSimple w:instr="NOTEREF _Ref_Footnote_3 \h \f">
              <w:r>
                <w:rPr>
                  <w:vertAlign w:val="superscript"/>
                </w:rPr>
                <w:t>3</w:t>
              </w:r>
            </w:fldSimple>
          </w:p>
        </w:tc>
        <w:tc>
          <w:tcPr/>
          <w:p>
            <w:pPr>
              <w:pStyle w:val="Compact"/>
              <w:jc w:val="left"/>
            </w:pPr>
            <w:r>
              <w:t xml:space="preserve">Medium</w:t>
            </w:r>
          </w:p>
        </w:tc>
      </w:tr>
      <w:tr>
        <w:tc>
          <w:tcPr/>
          <w:p>
            <w:pPr>
              <w:pStyle w:val="Compact"/>
              <w:jc w:val="left"/>
            </w:pPr>
            <w:r>
              <w:t xml:space="preserve">High</w:t>
            </w:r>
          </w:p>
        </w:tc>
        <w:tc>
          <w:tcPr/>
          <w:p>
            <w:pPr>
              <w:pStyle w:val="Compact"/>
              <w:jc w:val="left"/>
            </w:pPr>
            <w:r>
              <w:t xml:space="preserve">WhatsApp click-to-chat</w:t>
            </w:r>
          </w:p>
        </w:tc>
        <w:tc>
          <w:tcPr/>
          <w:p>
            <w:pPr>
              <w:pStyle w:val="Compact"/>
              <w:jc w:val="left"/>
            </w:pPr>
            <w:r>
              <w:t xml:space="preserve">On academy only</w:t>
            </w:r>
            <w:r>
              <w:t xml:space="preserve"> </w:t>
            </w:r>
            <w:fldSimple w:instr="NOTEREF _Ref_Footnote_26 \h \f">
              <w:r>
                <w:rPr>
                  <w:vertAlign w:val="superscript"/>
                </w:rPr>
                <w:t>26</w:t>
              </w:r>
            </w:fldSimple>
          </w:p>
        </w:tc>
        <w:tc>
          <w:tcPr/>
          <w:p>
            <w:pPr>
              <w:pStyle w:val="Compact"/>
              <w:jc w:val="left"/>
            </w:pPr>
            <w:r>
              <w:t xml:space="preserve">Floating button on all pages</w:t>
            </w:r>
          </w:p>
        </w:tc>
        <w:tc>
          <w:tcPr/>
          <w:p>
            <w:pPr>
              <w:pStyle w:val="Compact"/>
              <w:jc w:val="left"/>
            </w:pPr>
            <w:r>
              <w:t xml:space="preserve">20-40% mobile enquiry increase</w:t>
            </w:r>
          </w:p>
        </w:tc>
        <w:tc>
          <w:tcPr/>
          <w:p>
            <w:pPr>
              <w:pStyle w:val="Compact"/>
              <w:jc w:val="left"/>
            </w:pPr>
            <w:r>
              <w:t xml:space="preserve">Low</w:t>
            </w:r>
          </w:p>
        </w:tc>
      </w:tr>
      <w:tr>
        <w:tc>
          <w:tcPr/>
          <w:p>
            <w:pPr>
              <w:pStyle w:val="Compact"/>
              <w:jc w:val="left"/>
            </w:pPr>
            <w:r>
              <w:t xml:space="preserve">Medium</w:t>
            </w:r>
          </w:p>
        </w:tc>
        <w:tc>
          <w:tcPr/>
          <w:p>
            <w:pPr>
              <w:pStyle w:val="Compact"/>
              <w:jc w:val="left"/>
            </w:pPr>
            <w:r>
              <w:t xml:space="preserve">Image optimization</w:t>
            </w:r>
          </w:p>
        </w:tc>
        <w:tc>
          <w:tcPr/>
          <w:p>
            <w:pPr>
              <w:pStyle w:val="Compact"/>
              <w:jc w:val="left"/>
            </w:pPr>
            <w:r>
              <w:t xml:space="preserve">Uncompressed images</w:t>
            </w:r>
          </w:p>
        </w:tc>
        <w:tc>
          <w:tcPr/>
          <w:p>
            <w:pPr>
              <w:pStyle w:val="Compact"/>
              <w:jc w:val="left"/>
            </w:pPr>
            <w:r>
              <w:t xml:space="preserve">WebP + lazy loading</w:t>
            </w:r>
          </w:p>
        </w:tc>
        <w:tc>
          <w:tcPr/>
          <w:p>
            <w:pPr>
              <w:pStyle w:val="Compact"/>
              <w:jc w:val="left"/>
            </w:pPr>
            <w:r>
              <w:t xml:space="preserve">30-50% file reduction</w:t>
            </w:r>
            <w:r>
              <w:t xml:space="preserve"> </w:t>
            </w:r>
            <w:fldSimple w:instr="NOTEREF _Ref_Footnote_3 \h \f">
              <w:r>
                <w:rPr>
                  <w:vertAlign w:val="superscript"/>
                </w:rPr>
                <w:t>3</w:t>
              </w:r>
            </w:fldSimple>
          </w:p>
        </w:tc>
        <w:tc>
          <w:tcPr/>
          <w:p>
            <w:pPr>
              <w:pStyle w:val="Compact"/>
              <w:jc w:val="left"/>
            </w:pPr>
            <w:r>
              <w:t xml:space="preserve">Low</w:t>
            </w:r>
          </w:p>
        </w:tc>
      </w:tr>
      <w:tr>
        <w:tc>
          <w:tcPr/>
          <w:p>
            <w:pPr>
              <w:pStyle w:val="Compact"/>
              <w:jc w:val="left"/>
            </w:pPr>
            <w:r>
              <w:t xml:space="preserve">Medium</w:t>
            </w:r>
          </w:p>
        </w:tc>
        <w:tc>
          <w:tcPr/>
          <w:p>
            <w:pPr>
              <w:pStyle w:val="Compact"/>
              <w:jc w:val="left"/>
            </w:pPr>
            <w:r>
              <w:t xml:space="preserve">Internal linking</w:t>
            </w:r>
          </w:p>
        </w:tc>
        <w:tc>
          <w:tcPr/>
          <w:p>
            <w:pPr>
              <w:pStyle w:val="Compact"/>
              <w:jc w:val="left"/>
            </w:pPr>
            <w:r>
              <w:t xml:space="preserve">Minimal cross-site links</w:t>
            </w:r>
          </w:p>
        </w:tc>
        <w:tc>
          <w:tcPr/>
          <w:p>
            <w:pPr>
              <w:pStyle w:val="Compact"/>
              <w:jc w:val="left"/>
            </w:pPr>
            <w:r>
              <w:t xml:space="preserve">Service-to-course linking</w:t>
            </w:r>
          </w:p>
        </w:tc>
        <w:tc>
          <w:tcPr/>
          <w:p>
            <w:pPr>
              <w:pStyle w:val="Compact"/>
              <w:jc w:val="left"/>
            </w:pPr>
            <w:r>
              <w:t xml:space="preserve">Improved crawlability + flow</w:t>
            </w:r>
          </w:p>
        </w:tc>
        <w:tc>
          <w:tcPr/>
          <w:p>
            <w:pPr>
              <w:pStyle w:val="Compact"/>
              <w:jc w:val="left"/>
            </w:pPr>
            <w:r>
              <w:t xml:space="preserve">Low</w:t>
            </w:r>
          </w:p>
        </w:tc>
      </w:tr>
    </w:tbl>
    <w:p>
      <w:pPr>
        <w:pStyle w:val="BodyText"/>
      </w:pPr>
      <w:r>
        <w:t xml:space="preserve">The table arranges rfcsa.co.za redesign priorities from foundational technical work to content and conversion enhancements. The critical items — mobile responsiveness, homepage restructuring, and lead capture — affect every visitor regardless of traffic source. A site loading in one second rather than five triples conversion rates</w:t>
      </w:r>
      <w:r>
        <w:t xml:space="preserve"> </w:t>
      </w:r>
      <w:fldSimple w:instr="NOTEREF _Ref_Footnote_67 \h \f">
        <w:r>
          <w:rPr>
            <w:vertAlign w:val="superscript"/>
          </w:rPr>
          <w:t>67</w:t>
        </w:r>
      </w:fldSimple>
      <w:r>
        <w:t xml:space="preserve">, meaning the mobile-first rebuild pays for itself before a single blog post is published. Service pages and city landing pages follow as the content layer capturing targeted organic traffic. WhatsApp integration and image optimization are quick wins implementable in parallel. The cumulative effect transforms rfcsa.co.za from a static brochure into a lead-generation engine matching the conversion architecture ASC and Entecom have deployed.</w:t>
      </w:r>
    </w:p>
    <w:p>
      <w:r>
        <w:pict>
          <v:rect style="width:0;height:1.5pt" o:hralign="center" o:hrstd="t" o:hr="t"/>
        </w:pict>
      </w:r>
    </w:p>
    <w:bookmarkEnd w:id="90"/>
    <w:bookmarkEnd w:id="91"/>
    <w:bookmarkStart w:id="95" w:name="rfcacademy.co.za-improvements"/>
    <w:p>
      <w:pPr>
        <w:pStyle w:val="Heading3"/>
      </w:pPr>
      <w:r>
        <w:t xml:space="preserve">4.2 rfcacademy.co.za Improvements</w:t>
      </w:r>
    </w:p>
    <w:p>
      <w:pPr>
        <w:pStyle w:val="FirstParagraph"/>
      </w:pPr>
      <w:r>
        <w:t xml:space="preserve">The academy site has a cleaner visual design than the consulting site, with a modern green-and-white palette</w:t>
      </w:r>
      <w:r>
        <w:t xml:space="preserve"> </w:t>
      </w:r>
      <w:fldSimple w:instr="NOTEREF _Ref_Footnote_26 \h \f">
        <w:r>
          <w:rPr>
            <w:vertAlign w:val="superscript"/>
          </w:rPr>
          <w:t>26</w:t>
        </w:r>
      </w:fldSimple>
      <w:r>
        <w:t xml:space="preserve">. However, it houses only three courses against ASC’s 65+ across eight categories</w:t>
      </w:r>
      <w:r>
        <w:t xml:space="preserve"> </w:t>
      </w:r>
      <w:fldSimple w:instr="NOTEREF _Ref_Footnote_9 \h \f">
        <w:r>
          <w:rPr>
            <w:vertAlign w:val="superscript"/>
          </w:rPr>
          <w:t>9</w:t>
        </w:r>
      </w:fldSimple>
      <w:r>
        <w:t xml:space="preserve">and Entecom’s 15+ offerings</w:t>
      </w:r>
      <w:r>
        <w:t xml:space="preserve"> </w:t>
      </w:r>
      <w:fldSimple w:instr="NOTEREF _Ref_Footnote_36 \h \f">
        <w:r>
          <w:rPr>
            <w:vertAlign w:val="superscript"/>
          </w:rPr>
          <w:t>36</w:t>
        </w:r>
      </w:fldSimple>
      <w:r>
        <w:t xml:space="preserve">. This catalog gap restricts the academy’s ability to attract organic traffic, capture student leads, and generate revenue.</w:t>
      </w:r>
    </w:p>
    <w:bookmarkStart w:id="92" w:name="Xf4aa38ecf31d2f056c621e2528b9eceb4d50e3b"/>
    <w:p>
      <w:pPr>
        <w:pStyle w:val="Heading4"/>
      </w:pPr>
      <w:r>
        <w:t xml:space="preserve">4.2.1 Free Content Strategy: Course Previews, Free Mini-Modules, and Webinar Recordings</w:t>
      </w:r>
    </w:p>
    <w:p>
      <w:pPr>
        <w:pStyle w:val="FirstParagraph"/>
      </w:pPr>
      <w:r>
        <w:t xml:space="preserve">The academy’s</w:t>
      </w:r>
      <w:r>
        <w:t xml:space="preserve"> </w:t>
      </w:r>
      <w:r>
        <w:t xml:space="preserve">“</w:t>
      </w:r>
      <w:r>
        <w:t xml:space="preserve">Get Started Free</w:t>
      </w:r>
      <w:r>
        <w:t xml:space="preserve">”</w:t>
      </w:r>
      <w:r>
        <w:t xml:space="preserve"> </w:t>
      </w:r>
      <w:r>
        <w:t xml:space="preserve">button leads to registration</w:t>
      </w:r>
      <w:r>
        <w:t xml:space="preserve"> </w:t>
      </w:r>
      <w:fldSimple w:instr="NOTEREF _Ref_Footnote_26 \h \f">
        <w:r>
          <w:rPr>
            <w:vertAlign w:val="superscript"/>
          </w:rPr>
          <w:t>26</w:t>
        </w:r>
      </w:fldSimple>
      <w:r>
        <w:t xml:space="preserve">, but there is no free content layer allowing prospective students to evaluate quality before purchasing. Every major competitor uses free content as a top-of-funnel tool. Entecom offers 61+ free eBooks</w:t>
      </w:r>
      <w:r>
        <w:t xml:space="preserve"> </w:t>
      </w:r>
      <w:fldSimple w:instr="NOTEREF _Ref_Footnote_36 \h \f">
        <w:r>
          <w:rPr>
            <w:vertAlign w:val="superscript"/>
          </w:rPr>
          <w:t>36</w:t>
        </w:r>
      </w:fldSimple>
      <w:r>
        <w:t xml:space="preserve">, Progress Excellence provides free PDF guides</w:t>
      </w:r>
      <w:r>
        <w:t xml:space="preserve"> </w:t>
      </w:r>
      <w:fldSimple w:instr="NOTEREF _Ref_Footnote_40 \h \f">
        <w:r>
          <w:rPr>
            <w:vertAlign w:val="superscript"/>
          </w:rPr>
          <w:t>40</w:t>
        </w:r>
      </w:fldSimple>
      <w:r>
        <w:t xml:space="preserve">, and Food Safety Matters gives away the full Regulation 638 document and a COA application guide</w:t>
      </w:r>
      <w:r>
        <w:t xml:space="preserve"> </w:t>
      </w:r>
      <w:fldSimple w:instr="NOTEREF _Ref_Footnote_38 \h \f">
        <w:r>
          <w:rPr>
            <w:vertAlign w:val="superscript"/>
          </w:rPr>
          <w:t>38</w:t>
        </w:r>
      </w:fldSimple>
      <w:r>
        <w:t xml:space="preserve">.</w:t>
      </w:r>
    </w:p>
    <w:p>
      <w:pPr>
        <w:pStyle w:val="BodyText"/>
      </w:pPr>
      <w:r>
        <w:t xml:space="preserve">RFC Academy should implement three free content tiers. First, every paid course should include a publicly accessible preview module — the first 10-15 minutes — available without registration. Second, develop two to three standalone free mini-modules on high-search-volume topics:</w:t>
      </w:r>
      <w:r>
        <w:t xml:space="preserve"> </w:t>
      </w:r>
      <w:r>
        <w:t xml:space="preserve">“</w:t>
      </w:r>
      <w:r>
        <w:t xml:space="preserve">R638 Explained in 30 Minutes</w:t>
      </w:r>
      <w:r>
        <w:t xml:space="preserve">”</w:t>
      </w:r>
      <w:r>
        <w:t xml:space="preserve"> </w:t>
      </w:r>
      <w:r>
        <w:t xml:space="preserve">and</w:t>
      </w:r>
      <w:r>
        <w:t xml:space="preserve"> </w:t>
      </w:r>
      <w:r>
        <w:t xml:space="preserve">“</w:t>
      </w:r>
      <w:r>
        <w:t xml:space="preserve">The 7 HACCP Principles: A Quick Guide,</w:t>
      </w:r>
      <w:r>
        <w:t xml:space="preserve">”</w:t>
      </w:r>
      <w:r>
        <w:t xml:space="preserve"> </w:t>
      </w:r>
      <w:r>
        <w:t xml:space="preserve">available with email signup to build RFC’s marketing list. Third, webinar recordings should be gated behind registration, creating evergreen content that generates leads months after the live event. ASC does not currently offer free course previews at scale, giving RFC a differentiation opportunity.</w:t>
      </w:r>
    </w:p>
    <w:bookmarkEnd w:id="92"/>
    <w:bookmarkStart w:id="93" w:name="X5d56a3e2fa111cb5f16bc852c37e9f8ade15e68"/>
    <w:p>
      <w:pPr>
        <w:pStyle w:val="Heading4"/>
      </w:pPr>
      <w:r>
        <w:t xml:space="preserve">4.2.2 Review and Social Proof System: Student Ratings, Testimonials, and Completion Statistics</w:t>
      </w:r>
    </w:p>
    <w:p>
      <w:pPr>
        <w:pStyle w:val="FirstParagraph"/>
      </w:pPr>
      <w:r>
        <w:t xml:space="preserve">The current homepage displays generic testimonials attributed to</w:t>
      </w:r>
      <w:r>
        <w:t xml:space="preserve"> </w:t>
      </w:r>
      <w:r>
        <w:t xml:space="preserve">“</w:t>
      </w:r>
      <w:r>
        <w:t xml:space="preserve">Sarah, Restaurant Manager</w:t>
      </w:r>
      <w:r>
        <w:t xml:space="preserve">”</w:t>
      </w:r>
      <w:r>
        <w:t xml:space="preserve"> </w:t>
      </w:r>
      <w:r>
        <w:t xml:space="preserve">and</w:t>
      </w:r>
      <w:r>
        <w:t xml:space="preserve"> </w:t>
      </w:r>
      <w:r>
        <w:t xml:space="preserve">“</w:t>
      </w:r>
      <w:r>
        <w:t xml:space="preserve">Michael, Food Safety Officer</w:t>
      </w:r>
      <w:r>
        <w:t xml:space="preserve">”</w:t>
      </w:r>
      <w:r>
        <w:t xml:space="preserve"> </w:t>
      </w:r>
      <w:fldSimple w:instr="NOTEREF _Ref_Footnote_26 \h \f">
        <w:r>
          <w:rPr>
            <w:vertAlign w:val="superscript"/>
          </w:rPr>
          <w:t>26</w:t>
        </w:r>
      </w:fldSimple>
      <w:r>
        <w:t xml:space="preserve">— names lacking specificity for full credibility. The site claims</w:t>
      </w:r>
      <w:r>
        <w:t xml:space="preserve"> </w:t>
      </w:r>
      <w:r>
        <w:t xml:space="preserve">“</w:t>
      </w:r>
      <w:r>
        <w:t xml:space="preserve">10K+ Graduates,</w:t>
      </w:r>
      <w:r>
        <w:t xml:space="preserve">”</w:t>
      </w:r>
      <w:r>
        <w:t xml:space="preserve"> </w:t>
      </w:r>
      <w:r>
        <w:t xml:space="preserve">“</w:t>
      </w:r>
      <w:r>
        <w:t xml:space="preserve">98% Completion,</w:t>
      </w:r>
      <w:r>
        <w:t xml:space="preserve">”</w:t>
      </w:r>
      <w:r>
        <w:t xml:space="preserve"> </w:t>
      </w:r>
      <w:r>
        <w:t xml:space="preserve">and a</w:t>
      </w:r>
      <w:r>
        <w:t xml:space="preserve"> </w:t>
      </w:r>
      <w:r>
        <w:t xml:space="preserve">“</w:t>
      </w:r>
      <w:r>
        <w:t xml:space="preserve">5.0 Rating</w:t>
      </w:r>
      <w:r>
        <w:t xml:space="preserve">”</w:t>
      </w:r>
      <w:r>
        <w:t xml:space="preserve"> </w:t>
      </w:r>
      <w:fldSimple w:instr="NOTEREF _Ref_Footnote_26 \h \f">
        <w:r>
          <w:rPr>
            <w:vertAlign w:val="superscript"/>
          </w:rPr>
          <w:t>26</w:t>
        </w:r>
      </w:fldSimple>
      <w:r>
        <w:t xml:space="preserve">, but no visible review mechanism allows prospective students to verify these figures.</w:t>
      </w:r>
    </w:p>
    <w:p>
      <w:pPr>
        <w:pStyle w:val="BodyText"/>
      </w:pPr>
      <w:r>
        <w:t xml:space="preserve">The academy needs a verified review system: after course completion, students receive an automated email requesting a star rating and written review, displayed on each course page. This provides social proof that increases educational conversion rates by 15 to 30 percent, while review text adds keyword-rich user-generated content that improves SEO. Completion statistics should be prominent but accurate — inflated claims damage credibility in a B2B market where buyers verify credentials.</w:t>
      </w:r>
    </w:p>
    <w:bookmarkEnd w:id="93"/>
    <w:bookmarkStart w:id="94" w:name="X7e7dcb80919838a1f52dbb184061c9306c7c5dc"/>
    <w:p>
      <w:pPr>
        <w:pStyle w:val="Heading4"/>
      </w:pPr>
      <w:r>
        <w:t xml:space="preserve">4.2.3 Course Recommendation Engine: Suggest Related Courses Based on Student Profiles</w:t>
      </w:r>
    </w:p>
    <w:p>
      <w:pPr>
        <w:pStyle w:val="FirstParagraph"/>
      </w:pPr>
      <w:r>
        <w:t xml:space="preserve">With only three courses, a recommendation engine may seem premature, but it should be implemented now to scale as the catalog grows. Logic can be straightforward: after R638 completion, suggest Food Safety Culture; after that, recommend Food Defence/Food Fraud. For students indicating manufacturing roles during registration, prioritize HACCP and FSSC 22000 courses when available.</w:t>
      </w:r>
    </w:p>
    <w:p>
      <w:pPr>
        <w:pStyle w:val="BodyText"/>
      </w:pPr>
      <w:r>
        <w:t xml:space="preserve">ASC organizes training into learning pathways —</w:t>
      </w:r>
      <w:r>
        <w:t xml:space="preserve"> </w:t>
      </w:r>
      <w:r>
        <w:t xml:space="preserve">“</w:t>
      </w:r>
      <w:r>
        <w:t xml:space="preserve">food handler to FSSC 22000</w:t>
      </w:r>
      <w:r>
        <w:t xml:space="preserve">”</w:t>
      </w:r>
      <w:r>
        <w:t xml:space="preserve"> </w:t>
      </w:r>
      <w:r>
        <w:t xml:space="preserve">— increasing average revenue per student by guiding sequential enrollment</w:t>
      </w:r>
      <w:r>
        <w:t xml:space="preserve"> </w:t>
      </w:r>
      <w:fldSimple w:instr="NOTEREF _Ref_Footnote_9 \h \f">
        <w:r>
          <w:rPr>
            <w:vertAlign w:val="superscript"/>
          </w:rPr>
          <w:t>9</w:t>
        </w:r>
      </w:fldSimple>
      <w:r>
        <w:t xml:space="preserve">. RFC should adopt a similar pathway model, visually mapping the journey from basic compliance (R638) through culture-building (Food Safety Culture) to advanced risk management (Food Defence/Food Fraud, HACCP, ISO 22000). Displaying this on student dashboards and in post-completion emails encourages sequential enrollment.</w:t>
      </w:r>
    </w:p>
    <w:tbl>
      <w:tblPr>
        <w:tblStyle w:val="Table"/>
        <w:tblW w:type="pct" w:w="5000"/>
        <w:tblLook w:firstRow="1" w:lastRow="0" w:firstColumn="0" w:lastColumn="0" w:noHBand="0" w:noVBand="0" w:val="0020"/>
      </w:tblPr>
      <w:tblGrid>
        <w:gridCol w:w="783"/>
        <w:gridCol w:w="1914"/>
        <w:gridCol w:w="1914"/>
        <w:gridCol w:w="1392"/>
        <w:gridCol w:w="1914"/>
      </w:tblGrid>
      <w:tr>
        <w:trPr>
          <w:tblHeader w:val="true"/>
        </w:trPr>
        <w:tc>
          <w:tcPr/>
          <w:p>
            <w:pPr>
              <w:pStyle w:val="Compact"/>
              <w:jc w:val="left"/>
            </w:pPr>
            <w:r>
              <w:t xml:space="preserve">Feature</w:t>
            </w:r>
          </w:p>
        </w:tc>
        <w:tc>
          <w:tcPr/>
          <w:p>
            <w:pPr>
              <w:pStyle w:val="Compact"/>
              <w:jc w:val="left"/>
            </w:pPr>
            <w:r>
              <w:t xml:space="preserve">RFC Academy (Current)</w:t>
            </w:r>
          </w:p>
        </w:tc>
        <w:tc>
          <w:tcPr/>
          <w:p>
            <w:pPr>
              <w:pStyle w:val="Compact"/>
              <w:jc w:val="left"/>
            </w:pPr>
            <w:r>
              <w:t xml:space="preserve">ASC Food Safety</w:t>
            </w:r>
            <w:r>
              <w:t xml:space="preserve"> </w:t>
            </w:r>
            <w:fldSimple w:instr="NOTEREF _Ref_Footnote_9 \h \f">
              <w:r>
                <w:rPr>
                  <w:vertAlign w:val="superscript"/>
                </w:rPr>
                <w:t>9</w:t>
              </w:r>
            </w:fldSimple>
          </w:p>
        </w:tc>
        <w:tc>
          <w:tcPr/>
          <w:p>
            <w:pPr>
              <w:pStyle w:val="Compact"/>
              <w:jc w:val="left"/>
            </w:pPr>
            <w:r>
              <w:t xml:space="preserve">Entecom</w:t>
            </w:r>
            <w:r>
              <w:t xml:space="preserve"> </w:t>
            </w:r>
            <w:fldSimple w:instr="NOTEREF _Ref_Footnote_36 \h \f">
              <w:r>
                <w:rPr>
                  <w:vertAlign w:val="superscript"/>
                </w:rPr>
                <w:t>36</w:t>
              </w:r>
            </w:fldSimple>
          </w:p>
        </w:tc>
        <w:tc>
          <w:tcPr/>
          <w:p>
            <w:pPr>
              <w:pStyle w:val="Compact"/>
              <w:jc w:val="left"/>
            </w:pPr>
            <w:r>
              <w:t xml:space="preserve">Recommended RFC State</w:t>
            </w:r>
          </w:p>
        </w:tc>
      </w:tr>
      <w:tr>
        <w:tc>
          <w:tcPr/>
          <w:p>
            <w:pPr>
              <w:pStyle w:val="Compact"/>
              <w:jc w:val="left"/>
            </w:pPr>
            <w:r>
              <w:t xml:space="preserve">Course count</w:t>
            </w:r>
          </w:p>
        </w:tc>
        <w:tc>
          <w:tcPr/>
          <w:p>
            <w:pPr>
              <w:pStyle w:val="Compact"/>
              <w:jc w:val="left"/>
            </w:pPr>
            <w:r>
              <w:t xml:space="preserve">3</w:t>
            </w:r>
          </w:p>
        </w:tc>
        <w:tc>
          <w:tcPr/>
          <w:p>
            <w:pPr>
              <w:pStyle w:val="Compact"/>
              <w:jc w:val="left"/>
            </w:pPr>
            <w:r>
              <w:t xml:space="preserve">65+ across 8 categories</w:t>
            </w:r>
          </w:p>
        </w:tc>
        <w:tc>
          <w:tcPr/>
          <w:p>
            <w:pPr>
              <w:pStyle w:val="Compact"/>
              <w:jc w:val="left"/>
            </w:pPr>
            <w:r>
              <w:t xml:space="preserve">15+</w:t>
            </w:r>
          </w:p>
        </w:tc>
        <w:tc>
          <w:tcPr/>
          <w:p>
            <w:pPr>
              <w:pStyle w:val="Compact"/>
              <w:jc w:val="left"/>
            </w:pPr>
            <w:r>
              <w:t xml:space="preserve">8-12 by Month 6, 20+ by Year 2</w:t>
            </w:r>
          </w:p>
        </w:tc>
      </w:tr>
      <w:tr>
        <w:tc>
          <w:tcPr/>
          <w:p>
            <w:pPr>
              <w:pStyle w:val="Compact"/>
              <w:jc w:val="left"/>
            </w:pPr>
            <w:r>
              <w:t xml:space="preserve">Free course previews</w:t>
            </w:r>
          </w:p>
        </w:tc>
        <w:tc>
          <w:tcPr/>
          <w:p>
            <w:pPr>
              <w:pStyle w:val="Compact"/>
              <w:jc w:val="left"/>
            </w:pPr>
            <w:r>
              <w:t xml:space="preserve">None</w:t>
            </w:r>
          </w:p>
        </w:tc>
        <w:tc>
          <w:tcPr/>
          <w:p>
            <w:pPr>
              <w:pStyle w:val="Compact"/>
              <w:jc w:val="left"/>
            </w:pPr>
            <w:r>
              <w:t xml:space="preserve">Limited</w:t>
            </w:r>
          </w:p>
        </w:tc>
        <w:tc>
          <w:tcPr/>
          <w:p>
            <w:pPr>
              <w:pStyle w:val="Compact"/>
              <w:jc w:val="left"/>
            </w:pPr>
            <w:r>
              <w:t xml:space="preserve">eLearning demos</w:t>
            </w:r>
          </w:p>
        </w:tc>
        <w:tc>
          <w:tcPr/>
          <w:p>
            <w:pPr>
              <w:pStyle w:val="Compact"/>
              <w:jc w:val="left"/>
            </w:pPr>
            <w:r>
              <w:t xml:space="preserve">Preview module per course</w:t>
            </w:r>
          </w:p>
        </w:tc>
      </w:tr>
      <w:tr>
        <w:tc>
          <w:tcPr/>
          <w:p>
            <w:pPr>
              <w:pStyle w:val="Compact"/>
              <w:jc w:val="left"/>
            </w:pPr>
            <w:r>
              <w:t xml:space="preserve">Free downloadable content</w:t>
            </w:r>
          </w:p>
        </w:tc>
        <w:tc>
          <w:tcPr/>
          <w:p>
            <w:pPr>
              <w:pStyle w:val="Compact"/>
              <w:jc w:val="left"/>
            </w:pPr>
            <w:r>
              <w:t xml:space="preserve">None</w:t>
            </w:r>
          </w:p>
        </w:tc>
        <w:tc>
          <w:tcPr/>
          <w:p>
            <w:pPr>
              <w:pStyle w:val="Compact"/>
              <w:jc w:val="left"/>
            </w:pPr>
            <w:r>
              <w:t xml:space="preserve">Guides and templates</w:t>
            </w:r>
          </w:p>
        </w:tc>
        <w:tc>
          <w:tcPr/>
          <w:p>
            <w:pPr>
              <w:pStyle w:val="Compact"/>
              <w:jc w:val="left"/>
            </w:pPr>
            <w:r>
              <w:t xml:space="preserve">61+ eBooks, 46+ articles</w:t>
            </w:r>
          </w:p>
        </w:tc>
        <w:tc>
          <w:tcPr/>
          <w:p>
            <w:pPr>
              <w:pStyle w:val="Compact"/>
              <w:jc w:val="left"/>
            </w:pPr>
            <w:r>
              <w:t xml:space="preserve">2-3 mini-modules + 3 PDF guides</w:t>
            </w:r>
          </w:p>
        </w:tc>
      </w:tr>
      <w:tr>
        <w:tc>
          <w:tcPr/>
          <w:p>
            <w:pPr>
              <w:pStyle w:val="Compact"/>
              <w:jc w:val="left"/>
            </w:pPr>
            <w:r>
              <w:t xml:space="preserve">Student review system</w:t>
            </w:r>
          </w:p>
        </w:tc>
        <w:tc>
          <w:tcPr/>
          <w:p>
            <w:pPr>
              <w:pStyle w:val="Compact"/>
              <w:jc w:val="left"/>
            </w:pPr>
            <w:r>
              <w:t xml:space="preserve">Generic testimonials</w:t>
            </w:r>
          </w:p>
        </w:tc>
        <w:tc>
          <w:tcPr/>
          <w:p>
            <w:pPr>
              <w:pStyle w:val="Compact"/>
              <w:jc w:val="left"/>
            </w:pPr>
            <w:r>
              <w:t xml:space="preserve">Course ratings</w:t>
            </w:r>
          </w:p>
        </w:tc>
        <w:tc>
          <w:tcPr/>
          <w:p>
            <w:pPr>
              <w:pStyle w:val="Compact"/>
              <w:jc w:val="left"/>
            </w:pPr>
            <w:r>
              <w:t xml:space="preserve">Testimonials</w:t>
            </w:r>
          </w:p>
        </w:tc>
        <w:tc>
          <w:tcPr/>
          <w:p>
            <w:pPr>
              <w:pStyle w:val="Compact"/>
              <w:jc w:val="left"/>
            </w:pPr>
            <w:r>
              <w:t xml:space="preserve">Verified post-completion reviews</w:t>
            </w:r>
          </w:p>
        </w:tc>
      </w:tr>
      <w:tr>
        <w:tc>
          <w:tcPr/>
          <w:p>
            <w:pPr>
              <w:pStyle w:val="Compact"/>
              <w:jc w:val="left"/>
            </w:pPr>
            <w:r>
              <w:t xml:space="preserve">Course recommendations</w:t>
            </w:r>
          </w:p>
        </w:tc>
        <w:tc>
          <w:tcPr/>
          <w:p>
            <w:pPr>
              <w:pStyle w:val="Compact"/>
              <w:jc w:val="left"/>
            </w:pPr>
            <w:r>
              <w:t xml:space="preserve">None</w:t>
            </w:r>
          </w:p>
        </w:tc>
        <w:tc>
          <w:tcPr/>
          <w:p>
            <w:pPr>
              <w:pStyle w:val="Compact"/>
              <w:jc w:val="left"/>
            </w:pPr>
            <w:r>
              <w:t xml:space="preserve">Learning pathways</w:t>
            </w:r>
          </w:p>
        </w:tc>
        <w:tc>
          <w:tcPr/>
          <w:p>
            <w:pPr>
              <w:pStyle w:val="Compact"/>
              <w:jc w:val="left"/>
            </w:pPr>
            <w:r>
              <w:t xml:space="preserve">Related suggestions</w:t>
            </w:r>
          </w:p>
        </w:tc>
        <w:tc>
          <w:tcPr/>
          <w:p>
            <w:pPr>
              <w:pStyle w:val="Compact"/>
              <w:jc w:val="left"/>
            </w:pPr>
            <w:r>
              <w:t xml:space="preserve">Pathway-based cross-sell engine</w:t>
            </w:r>
          </w:p>
        </w:tc>
      </w:tr>
      <w:tr>
        <w:tc>
          <w:tcPr/>
          <w:p>
            <w:pPr>
              <w:pStyle w:val="Compact"/>
              <w:jc w:val="left"/>
            </w:pPr>
            <w:r>
              <w:t xml:space="preserve">WhatsApp support</w:t>
            </w:r>
          </w:p>
        </w:tc>
        <w:tc>
          <w:tcPr/>
          <w:p>
            <w:pPr>
              <w:pStyle w:val="Compact"/>
              <w:jc w:val="left"/>
            </w:pPr>
            <w:r>
              <w:t xml:space="preserve">Present</w:t>
            </w:r>
            <w:r>
              <w:t xml:space="preserve"> </w:t>
            </w:r>
            <w:fldSimple w:instr="NOTEREF _Ref_Footnote_26 \h \f">
              <w:r>
                <w:rPr>
                  <w:vertAlign w:val="superscript"/>
                </w:rPr>
                <w:t>26</w:t>
              </w:r>
            </w:fldSimple>
          </w:p>
        </w:tc>
        <w:tc>
          <w:tcPr/>
          <w:p>
            <w:pPr>
              <w:pStyle w:val="Compact"/>
              <w:jc w:val="left"/>
            </w:pPr>
            <w:r>
              <w:t xml:space="preserve">Phone + WhatsApp</w:t>
            </w:r>
          </w:p>
        </w:tc>
        <w:tc>
          <w:tcPr/>
          <w:p>
            <w:pPr>
              <w:pStyle w:val="Compact"/>
              <w:jc w:val="left"/>
            </w:pPr>
            <w:r>
              <w:t xml:space="preserve">Chat + callback</w:t>
            </w:r>
          </w:p>
        </w:tc>
        <w:tc>
          <w:tcPr/>
          <w:p>
            <w:pPr>
              <w:pStyle w:val="Compact"/>
              <w:jc w:val="left"/>
            </w:pPr>
            <w:r>
              <w:t xml:space="preserve">Enhanced with auto-responses</w:t>
            </w:r>
          </w:p>
        </w:tc>
      </w:tr>
      <w:tr>
        <w:tc>
          <w:tcPr/>
          <w:p>
            <w:pPr>
              <w:pStyle w:val="Compact"/>
              <w:jc w:val="left"/>
            </w:pPr>
            <w:r>
              <w:t xml:space="preserve">Accreditation display</w:t>
            </w:r>
          </w:p>
        </w:tc>
        <w:tc>
          <w:tcPr/>
          <w:p>
            <w:pPr>
              <w:pStyle w:val="Compact"/>
              <w:jc w:val="left"/>
            </w:pPr>
            <w:r>
              <w:t xml:space="preserve">SAATCA badge</w:t>
            </w:r>
          </w:p>
        </w:tc>
        <w:tc>
          <w:tcPr/>
          <w:p>
            <w:pPr>
              <w:pStyle w:val="Compact"/>
              <w:jc w:val="left"/>
            </w:pPr>
            <w:r>
              <w:t xml:space="preserve">Multiple badges</w:t>
            </w:r>
          </w:p>
        </w:tc>
        <w:tc>
          <w:tcPr/>
          <w:p>
            <w:pPr>
              <w:pStyle w:val="Compact"/>
              <w:jc w:val="left"/>
            </w:pPr>
            <w:r>
              <w:t xml:space="preserve">SAATCA + SETA</w:t>
            </w:r>
          </w:p>
        </w:tc>
        <w:tc>
          <w:tcPr/>
          <w:p>
            <w:pPr>
              <w:pStyle w:val="Compact"/>
              <w:jc w:val="left"/>
            </w:pPr>
            <w:r>
              <w:t xml:space="preserve">SAATCA + future SETA</w:t>
            </w:r>
          </w:p>
        </w:tc>
      </w:tr>
      <w:tr>
        <w:tc>
          <w:tcPr/>
          <w:p>
            <w:pPr>
              <w:pStyle w:val="Compact"/>
              <w:jc w:val="left"/>
            </w:pPr>
            <w:r>
              <w:t xml:space="preserve">Pricing transparency</w:t>
            </w:r>
          </w:p>
        </w:tc>
        <w:tc>
          <w:tcPr/>
          <w:p>
            <w:pPr>
              <w:pStyle w:val="Compact"/>
              <w:jc w:val="left"/>
            </w:pPr>
            <w:r>
              <w:t xml:space="preserve">R1,600 shown</w:t>
            </w:r>
          </w:p>
        </w:tc>
        <w:tc>
          <w:tcPr/>
          <w:p>
            <w:pPr>
              <w:pStyle w:val="Compact"/>
              <w:jc w:val="left"/>
            </w:pPr>
            <w:r>
              <w:t xml:space="preserve">R879-R3,393 range</w:t>
            </w:r>
          </w:p>
        </w:tc>
        <w:tc>
          <w:tcPr/>
          <w:p>
            <w:pPr>
              <w:pStyle w:val="Compact"/>
              <w:jc w:val="left"/>
            </w:pPr>
            <w:r>
              <w:t xml:space="preserve">Prices on pages</w:t>
            </w:r>
          </w:p>
        </w:tc>
        <w:tc>
          <w:tcPr/>
          <w:p>
            <w:pPr>
              <w:pStyle w:val="Compact"/>
              <w:jc w:val="left"/>
            </w:pPr>
            <w:r>
              <w:t xml:space="preserve">Maintain transparency</w:t>
            </w:r>
          </w:p>
        </w:tc>
      </w:tr>
      <w:tr>
        <w:tc>
          <w:tcPr/>
          <w:p>
            <w:pPr>
              <w:pStyle w:val="Compact"/>
              <w:jc w:val="left"/>
            </w:pPr>
            <w:r>
              <w:t xml:space="preserve">Webinar/archive library</w:t>
            </w:r>
          </w:p>
        </w:tc>
        <w:tc>
          <w:tcPr/>
          <w:p>
            <w:pPr>
              <w:pStyle w:val="Compact"/>
              <w:jc w:val="left"/>
            </w:pPr>
            <w:r>
              <w:t xml:space="preserve">None</w:t>
            </w:r>
          </w:p>
        </w:tc>
        <w:tc>
          <w:tcPr/>
          <w:p>
            <w:pPr>
              <w:pStyle w:val="Compact"/>
              <w:jc w:val="left"/>
            </w:pPr>
            <w:r>
              <w:t xml:space="preserve">Occasional webinars</w:t>
            </w:r>
          </w:p>
        </w:tc>
        <w:tc>
          <w:tcPr/>
          <w:p>
            <w:pPr>
              <w:pStyle w:val="Compact"/>
              <w:jc w:val="left"/>
            </w:pPr>
            <w:r>
              <w:t xml:space="preserve">5+ recordings</w:t>
            </w:r>
          </w:p>
        </w:tc>
        <w:tc>
          <w:tcPr/>
          <w:p>
            <w:pPr>
              <w:pStyle w:val="Compact"/>
              <w:jc w:val="left"/>
            </w:pPr>
            <w:r>
              <w:t xml:space="preserve">Quarterly webinars archived</w:t>
            </w:r>
          </w:p>
        </w:tc>
      </w:tr>
      <w:tr>
        <w:tc>
          <w:tcPr/>
          <w:p>
            <w:pPr>
              <w:pStyle w:val="Compact"/>
              <w:jc w:val="left"/>
            </w:pPr>
            <w:r>
              <w:t xml:space="preserve">City-specific pages</w:t>
            </w:r>
          </w:p>
        </w:tc>
        <w:tc>
          <w:tcPr/>
          <w:p>
            <w:pPr>
              <w:pStyle w:val="Compact"/>
              <w:jc w:val="left"/>
            </w:pPr>
            <w:r>
              <w:t xml:space="preserve">None</w:t>
            </w:r>
          </w:p>
        </w:tc>
        <w:tc>
          <w:tcPr/>
          <w:p>
            <w:pPr>
              <w:pStyle w:val="Compact"/>
              <w:jc w:val="left"/>
            </w:pPr>
            <w:r>
              <w:t xml:space="preserve">Gqeberha, JHB, CT</w:t>
            </w:r>
          </w:p>
        </w:tc>
        <w:tc>
          <w:tcPr/>
          <w:p>
            <w:pPr>
              <w:pStyle w:val="Compact"/>
              <w:jc w:val="left"/>
            </w:pPr>
            <w:r>
              <w:t xml:space="preserve">Regional schedule</w:t>
            </w:r>
          </w:p>
        </w:tc>
        <w:tc>
          <w:tcPr/>
          <w:p>
            <w:pPr>
              <w:pStyle w:val="Compact"/>
              <w:jc w:val="left"/>
            </w:pPr>
            <w:r>
              <w:t xml:space="preserve">Pretoria, JHB, CT, Durban</w:t>
            </w:r>
          </w:p>
        </w:tc>
      </w:tr>
    </w:tbl>
    <w:p>
      <w:pPr>
        <w:pStyle w:val="BodyText"/>
      </w:pPr>
      <w:r>
        <w:t xml:space="preserve">This comparison reveals RFC Academy’s gap against ASC is substantial but closable. ASC’s 65-course catalog</w:t>
      </w:r>
      <w:r>
        <w:t xml:space="preserve"> </w:t>
      </w:r>
      <w:fldSimple w:instr="NOTEREF _Ref_Footnote_9 \h \f">
        <w:r>
          <w:rPr>
            <w:vertAlign w:val="superscript"/>
          </w:rPr>
          <w:t>9</w:t>
        </w:r>
      </w:fldSimple>
      <w:r>
        <w:t xml:space="preserve">took years to build; RFC can reach 12 courses within six months by prioritizing the highest-search-volume offerings: R638 (live), HACCP Awareness, FSSC 22000 Internal Auditor, Basic Food Handler, and VACCP/TACCP. The free content layer is the most urgent missing element. Entecom’s 61+ eBooks</w:t>
      </w:r>
      <w:r>
        <w:t xml:space="preserve"> </w:t>
      </w:r>
      <w:fldSimple w:instr="NOTEREF _Ref_Footnote_36 \h \f">
        <w:r>
          <w:rPr>
            <w:vertAlign w:val="superscript"/>
          </w:rPr>
          <w:t>36</w:t>
        </w:r>
      </w:fldSimple>
      <w:r>
        <w:t xml:space="preserve">and Food Safety Matters’ free R638 download</w:t>
      </w:r>
      <w:r>
        <w:t xml:space="preserve"> </w:t>
      </w:r>
      <w:fldSimple w:instr="NOTEREF _Ref_Footnote_38 \h \f">
        <w:r>
          <w:rPr>
            <w:vertAlign w:val="superscript"/>
          </w:rPr>
          <w:t>38</w:t>
        </w:r>
      </w:fldSimple>
      <w:r>
        <w:t xml:space="preserve">both generate email leads for nurture sequences. Without equivalent free assets, RFC relies on paid traffic — structurally expensive when ASC prices its R638 course at R879, nearly half of RFC’s R1,600 price point</w:t>
      </w:r>
      <w:r>
        <w:t xml:space="preserve"> </w:t>
      </w:r>
      <w:fldSimple w:instr="NOTEREF _Ref_Footnote_3 \h \f">
        <w:r>
          <w:rPr>
            <w:vertAlign w:val="superscript"/>
          </w:rPr>
          <w:t>3</w:t>
        </w:r>
      </w:fldSimple>
      <w:r>
        <w:t xml:space="preserve">. The review system and recommendation engine are medium-term improvements compounding in value as the student base grows.</w:t>
      </w:r>
    </w:p>
    <w:p>
      <w:r>
        <w:pict>
          <v:rect style="width:0;height:1.5pt" o:hralign="center" o:hrstd="t" o:hr="t"/>
        </w:pict>
      </w:r>
    </w:p>
    <w:bookmarkEnd w:id="94"/>
    <w:bookmarkEnd w:id="95"/>
    <w:bookmarkStart w:id="99" w:name="cross-site-integration"/>
    <w:p>
      <w:pPr>
        <w:pStyle w:val="Heading3"/>
      </w:pPr>
      <w:r>
        <w:t xml:space="preserve">4.3 Cross-Site Integration</w:t>
      </w:r>
    </w:p>
    <w:p>
      <w:pPr>
        <w:pStyle w:val="FirstParagraph"/>
      </w:pPr>
      <w:r>
        <w:t xml:space="preserve">RFC’s two websites currently function as separate properties rather than an integrated ecosystem. The consulting site links to the academy</w:t>
      </w:r>
      <w:r>
        <w:t xml:space="preserve"> </w:t>
      </w:r>
      <w:fldSimple w:instr="NOTEREF _Ref_Footnote_3 \h \f">
        <w:r>
          <w:rPr>
            <w:vertAlign w:val="superscript"/>
          </w:rPr>
          <w:t>3</w:t>
        </w:r>
      </w:fldSimple>
      <w:r>
        <w:t xml:space="preserve">and vice versa</w:t>
      </w:r>
      <w:r>
        <w:t xml:space="preserve"> </w:t>
      </w:r>
      <w:fldSimple w:instr="NOTEREF _Ref_Footnote_26 \h \f">
        <w:r>
          <w:rPr>
            <w:vertAlign w:val="superscript"/>
          </w:rPr>
          <w:t>26</w:t>
        </w:r>
      </w:fldSimple>
      <w:r>
        <w:t xml:space="preserve">, but there is no unified navigation, shared lead capture, or consistent content strategy. ASC’s two-site model explicitly occupies more SERP real estate and guides visitors to appropriate conversion paths</w:t>
      </w:r>
      <w:r>
        <w:t xml:space="preserve"> </w:t>
      </w:r>
      <w:fldSimple w:instr="NOTEREF _Ref_Footnote_9 \h \f">
        <w:r>
          <w:rPr>
            <w:vertAlign w:val="superscript"/>
          </w:rPr>
          <w:t>9</w:t>
        </w:r>
      </w:fldSimple>
      <w:r>
        <w:t xml:space="preserve">. RFC should adopt a similarly intentional architecture.</w:t>
      </w:r>
    </w:p>
    <w:bookmarkStart w:id="96" w:name="Xa3fbe3558afc0d353d0a6f20ddee2060f72644a"/>
    <w:p>
      <w:pPr>
        <w:pStyle w:val="Heading4"/>
      </w:pPr>
      <w:r>
        <w:t xml:space="preserve">4.3.1 Unified Navigation and Branding with Consistent CTAs</w:t>
      </w:r>
    </w:p>
    <w:p>
      <w:pPr>
        <w:pStyle w:val="FirstParagraph"/>
      </w:pPr>
      <w:r>
        <w:t xml:space="preserve">A visitor on rfcsa.co.za should immediately know RFC Academy exists, and vice versa. A shared top-bar banner on both sites — a thin notification bar above navigation — with messaging such as</w:t>
      </w:r>
      <w:r>
        <w:t xml:space="preserve"> </w:t>
      </w:r>
      <w:r>
        <w:t xml:space="preserve">“</w:t>
      </w:r>
      <w:r>
        <w:t xml:space="preserve">Looking for online training? Visit RFC Academy →</w:t>
      </w:r>
      <w:r>
        <w:t xml:space="preserve">”</w:t>
      </w:r>
      <w:r>
        <w:t xml:space="preserve"> </w:t>
      </w:r>
      <w:r>
        <w:t xml:space="preserve">on the consulting site and</w:t>
      </w:r>
      <w:r>
        <w:t xml:space="preserve"> </w:t>
      </w:r>
      <w:r>
        <w:t xml:space="preserve">“</w:t>
      </w:r>
      <w:r>
        <w:t xml:space="preserve">Need on-site consulting? Explore RFC Consulting →</w:t>
      </w:r>
      <w:r>
        <w:t xml:space="preserve">”</w:t>
      </w:r>
      <w:r>
        <w:t xml:space="preserve"> </w:t>
      </w:r>
      <w:r>
        <w:t xml:space="preserve">on the academy captures visitors who landed on the wrong site for their needs.</w:t>
      </w:r>
    </w:p>
    <w:p>
      <w:pPr>
        <w:pStyle w:val="BodyText"/>
      </w:pPr>
      <w:r>
        <w:t xml:space="preserve">The visual identity should be harmonized: the consulting site’s dark green</w:t>
      </w:r>
      <w:r>
        <w:t xml:space="preserve"> </w:t>
      </w:r>
      <w:fldSimple w:instr="NOTEREF _Ref_Footnote_3 \h \f">
        <w:r>
          <w:rPr>
            <w:vertAlign w:val="superscript"/>
          </w:rPr>
          <w:t>3</w:t>
        </w:r>
      </w:fldSimple>
      <w:r>
        <w:t xml:space="preserve">and the academy’s lighter palette</w:t>
      </w:r>
      <w:r>
        <w:t xml:space="preserve"> </w:t>
      </w:r>
      <w:fldSimple w:instr="NOTEREF _Ref_Footnote_26 \h \f">
        <w:r>
          <w:rPr>
            <w:vertAlign w:val="superscript"/>
          </w:rPr>
          <w:t>26</w:t>
        </w:r>
      </w:fldSimple>
      <w:r>
        <w:t xml:space="preserve">reconciled into a single color system with consistent logos, typography, and button styling. Both sites should position trust indicators identically — SAATCA badge, years in business, contact info — so consistency reinforces RFC’s professionalism when prospects see both sites in their research.</w:t>
      </w:r>
    </w:p>
    <w:bookmarkEnd w:id="96"/>
    <w:bookmarkStart w:id="97" w:name="Xc77c2e1de974be8d8cdeab7fb80f4cfecc8cd6a"/>
    <w:p>
      <w:pPr>
        <w:pStyle w:val="Heading4"/>
      </w:pPr>
      <w:r>
        <w:t xml:space="preserve">4.3.2 Blog Hosted on rfcsa.co.za with Course Promotion CTAs Linking to rfcacademy.co.za</w:t>
      </w:r>
    </w:p>
    <w:p>
      <w:pPr>
        <w:pStyle w:val="FirstParagraph"/>
      </w:pPr>
      <w:r>
        <w:t xml:space="preserve">From an architecture perspective, the blog must live on rfcsa.co.za rather than the academy site because the consulting site is the older, more established property with greater domain authority; blog content published there will rank faster. Each article should include contextually relevant CTAs linking to specific academy courses — an article on</w:t>
      </w:r>
      <w:r>
        <w:t xml:space="preserve"> </w:t>
      </w:r>
      <w:r>
        <w:t xml:space="preserve">“</w:t>
      </w:r>
      <w:r>
        <w:t xml:space="preserve">R638 Compliance for Pretoria Restaurants</w:t>
      </w:r>
      <w:r>
        <w:t xml:space="preserve">”</w:t>
      </w:r>
      <w:r>
        <w:t xml:space="preserve"> </w:t>
      </w:r>
      <w:r>
        <w:t xml:space="preserve">links to the R638 enrolment page; an article on</w:t>
      </w:r>
      <w:r>
        <w:t xml:space="preserve"> </w:t>
      </w:r>
      <w:r>
        <w:t xml:space="preserve">“</w:t>
      </w:r>
      <w:r>
        <w:t xml:space="preserve">Food Safety Culture</w:t>
      </w:r>
      <w:r>
        <w:t xml:space="preserve">”</w:t>
      </w:r>
      <w:r>
        <w:t xml:space="preserve"> </w:t>
      </w:r>
      <w:r>
        <w:t xml:space="preserve">links to that course.</w:t>
      </w:r>
    </w:p>
    <w:p>
      <w:pPr>
        <w:pStyle w:val="BodyText"/>
      </w:pPr>
      <w:r>
        <w:t xml:space="preserve">The blog sidebar should feature a persistent</w:t>
      </w:r>
      <w:r>
        <w:t xml:space="preserve"> </w:t>
      </w:r>
      <w:r>
        <w:t xml:space="preserve">“</w:t>
      </w:r>
      <w:r>
        <w:t xml:space="preserve">Popular Courses</w:t>
      </w:r>
      <w:r>
        <w:t xml:space="preserve">”</w:t>
      </w:r>
      <w:r>
        <w:t xml:space="preserve"> </w:t>
      </w:r>
      <w:r>
        <w:t xml:space="preserve">widget with the three current offerings, pricing, and direct enrolment links. Articles should include a scroll-based CTA appearing after 50 percent content consumption — a</w:t>
      </w:r>
      <w:r>
        <w:t xml:space="preserve"> </w:t>
      </w:r>
      <w:r>
        <w:t xml:space="preserve">“</w:t>
      </w:r>
      <w:r>
        <w:t xml:space="preserve">Need R638 Training? Enrol Now</w:t>
      </w:r>
      <w:r>
        <w:t xml:space="preserve">”</w:t>
      </w:r>
      <w:r>
        <w:t xml:space="preserve"> </w:t>
      </w:r>
      <w:r>
        <w:t xml:space="preserve">prompt capturing engaged readers at maximum interest. ASC uses related-article cross-linking to keep visitors on-site</w:t>
      </w:r>
      <w:r>
        <w:t xml:space="preserve"> </w:t>
      </w:r>
      <w:fldSimple w:instr="NOTEREF _Ref_Footnote_9 \h \f">
        <w:r>
          <w:rPr>
            <w:vertAlign w:val="superscript"/>
          </w:rPr>
          <w:t>9</w:t>
        </w:r>
      </w:fldSimple>
      <w:r>
        <w:t xml:space="preserve">; RFC should replicate this while adding course links to the related-content section.</w:t>
      </w:r>
    </w:p>
    <w:bookmarkEnd w:id="97"/>
    <w:bookmarkStart w:id="98" w:name="Xa7b572dad060ed8c24aab0f15837ac4f97cbc79"/>
    <w:p>
      <w:pPr>
        <w:pStyle w:val="Heading4"/>
      </w:pPr>
      <w:r>
        <w:t xml:space="preserve">4.3.3 Shared Lead Capture: Single Email List with Segmented Nurture Sequences</w:t>
      </w:r>
    </w:p>
    <w:p>
      <w:pPr>
        <w:pStyle w:val="FirstParagraph"/>
      </w:pPr>
      <w:r>
        <w:t xml:space="preserve">The most sophisticated integration layer is unified lead capture and email nurture. When a visitor downloads the R638 checklist from rfcsa.co.za, registers for a free academy preview, or books a consultation, their information should flow into a single CRM or email platform (Brevo, Mailchimp, or HubSpot) with tags identifying source and interest.</w:t>
      </w:r>
    </w:p>
    <w:p>
      <w:pPr>
        <w:pStyle w:val="BodyText"/>
      </w:pPr>
      <w:r>
        <w:t xml:space="preserve">This unified list enables segmented nurture sequences. A prospect downloading the R638 checklist but not purchasing receives objection-handling emails:</w:t>
      </w:r>
      <w:r>
        <w:t xml:space="preserve"> </w:t>
      </w:r>
      <w:r>
        <w:t xml:space="preserve">“</w:t>
      </w:r>
      <w:r>
        <w:t xml:space="preserve">How R638 Training Pays for Itself,</w:t>
      </w:r>
      <w:r>
        <w:t xml:space="preserve">”</w:t>
      </w:r>
      <w:r>
        <w:t xml:space="preserve"> </w:t>
      </w:r>
      <w:r>
        <w:t xml:space="preserve">“</w:t>
      </w:r>
      <w:r>
        <w:t xml:space="preserve">What Past Students Say,</w:t>
      </w:r>
      <w:r>
        <w:t xml:space="preserve">”</w:t>
      </w:r>
      <w:r>
        <w:t xml:space="preserve"> </w:t>
      </w:r>
      <w:r>
        <w:t xml:space="preserve">and a time-limited discount. A consulting prospect receives different content:</w:t>
      </w:r>
      <w:r>
        <w:t xml:space="preserve"> </w:t>
      </w:r>
      <w:r>
        <w:t xml:space="preserve">“</w:t>
      </w:r>
      <w:r>
        <w:t xml:space="preserve">How to Prepare for Your Audit,</w:t>
      </w:r>
      <w:r>
        <w:t xml:space="preserve">”</w:t>
      </w:r>
      <w:r>
        <w:t xml:space="preserve"> </w:t>
      </w:r>
      <w:r>
        <w:t xml:space="preserve">the Fortuna Foods case study, and a gap analysis offer. Without unified list management, leads exist in separate silos and cannot be cross-sold — a student completing R638 training may later need HACCP consulting for their employer, but only if RFC’s system recognizes that progression.</w:t>
      </w:r>
    </w:p>
    <w:p>
      <w:pPr>
        <w:pStyle w:val="BodyText"/>
      </w:pPr>
      <w:r>
        <w:t xml:space="preserve">The cross-site integration transforms two standalone websites into a cohesive digital ecosystem. The consulting site attracts commercial-intent visitors searching</w:t>
      </w:r>
      <w:r>
        <w:t xml:space="preserve"> </w:t>
      </w:r>
      <w:r>
        <w:t xml:space="preserve">“</w:t>
      </w:r>
      <w:r>
        <w:t xml:space="preserve">food safety consultant Pretoria</w:t>
      </w:r>
      <w:r>
        <w:t xml:space="preserve">”</w:t>
      </w:r>
      <w:r>
        <w:t xml:space="preserve"> </w:t>
      </w:r>
      <w:r>
        <w:t xml:space="preserve">and guides some toward training; the academy attracts educational-intent visitors searching</w:t>
      </w:r>
      <w:r>
        <w:t xml:space="preserve"> </w:t>
      </w:r>
      <w:r>
        <w:t xml:space="preserve">“</w:t>
      </w:r>
      <w:r>
        <w:t xml:space="preserve">R638 training online</w:t>
      </w:r>
      <w:r>
        <w:t xml:space="preserve">”</w:t>
      </w:r>
      <w:r>
        <w:t xml:space="preserve"> </w:t>
      </w:r>
      <w:r>
        <w:t xml:space="preserve">and surfaces consulting for business owners. Each site strengthens the other, and the shared lead capture ensures no interested prospect falls through gaps. This is the model ASC has built with its dual-domain strategy, and it is the architecture that will allow RFC to compete for visibility, leads, and revenue over the next 12 to 24 months</w:t>
      </w:r>
      <w:r>
        <w:t xml:space="preserve"> </w:t>
      </w:r>
      <w:fldSimple w:instr="NOTEREF _Ref_Footnote_9 \h \f">
        <w:r>
          <w:rPr>
            <w:vertAlign w:val="superscript"/>
          </w:rPr>
          <w:t>9</w:t>
        </w:r>
      </w:fldSimple>
      <w:r>
        <w:t xml:space="preserve">.</w:t>
      </w:r>
      <w:r>
        <w:t xml:space="preserve"> </w:t>
      </w:r>
      <w:r>
        <w:t xml:space="preserve">-e</w:t>
      </w:r>
    </w:p>
    <w:bookmarkEnd w:id="98"/>
    <w:bookmarkEnd w:id="99"/>
    <w:bookmarkEnd w:id="100"/>
    <w:bookmarkStart w:id="104" w:name="content-strategy-blog-calendar"/>
    <w:p>
      <w:pPr>
        <w:pStyle w:val="Heading2"/>
      </w:pPr>
      <w:r>
        <w:t xml:space="preserve">5. Content Strategy &amp; Blog Calendar</w:t>
      </w:r>
    </w:p>
    <w:p>
      <w:pPr>
        <w:pStyle w:val="FirstParagraph"/>
      </w:pPr>
      <w:r>
        <w:t xml:space="preserve">Content marketing represents the single highest-impact, lowest-cost growth lever available to RFC. Competitor analysis reveals that ASC Food Safety dominates search results through a two-site strategy and extensive long-form guides exceeding 2,000–5,000 words per article</w:t>
      </w:r>
      <w:r>
        <w:t xml:space="preserve"> </w:t>
      </w:r>
      <w:fldSimple w:instr="NOTEREF _Ref_Footnote_9 \h \f">
        <w:r>
          <w:rPr>
            <w:vertAlign w:val="superscript"/>
          </w:rPr>
          <w:t>9</w:t>
        </w:r>
      </w:fldSimple>
      <w:r>
        <w:t xml:space="preserve">, while Entecom has built a formidable content engine with 46+ articles, 61+ downloadable eBooks, and a podcast series</w:t>
      </w:r>
      <w:r>
        <w:t xml:space="preserve"> </w:t>
      </w:r>
      <w:fldSimple w:instr="NOTEREF _Ref_Footnote_36 \h \f">
        <w:r>
          <w:rPr>
            <w:vertAlign w:val="superscript"/>
          </w:rPr>
          <w:t>36</w:t>
        </w:r>
      </w:fldSimple>
      <w:r>
        <w:t xml:space="preserve">. RFC currently has no visible blog on either domain — a gap that, if closed systematically, offers a direct path to capturing organic traffic for keywords such as</w:t>
      </w:r>
      <w:r>
        <w:t xml:space="preserve"> </w:t>
      </w:r>
      <w:r>
        <w:t xml:space="preserve">“</w:t>
      </w:r>
      <w:r>
        <w:t xml:space="preserve">Certificate of Acceptability South Africa</w:t>
      </w:r>
      <w:r>
        <w:t xml:space="preserve">”</w:t>
      </w:r>
      <w:r>
        <w:t xml:space="preserve"> </w:t>
      </w:r>
      <w:r>
        <w:t xml:space="preserve">(300–600 monthly searches),</w:t>
      </w:r>
      <w:r>
        <w:t xml:space="preserve"> </w:t>
      </w:r>
      <w:r>
        <w:t xml:space="preserve">“</w:t>
      </w:r>
      <w:r>
        <w:t xml:space="preserve">R638 training</w:t>
      </w:r>
      <w:r>
        <w:t xml:space="preserve">”</w:t>
      </w:r>
      <w:r>
        <w:t xml:space="preserve"> </w:t>
      </w:r>
      <w:r>
        <w:t xml:space="preserve">(400–800 monthly searches), and</w:t>
      </w:r>
      <w:r>
        <w:t xml:space="preserve"> </w:t>
      </w:r>
      <w:r>
        <w:t xml:space="preserve">“</w:t>
      </w:r>
      <w:r>
        <w:t xml:space="preserve">HACCP training South Africa</w:t>
      </w:r>
      <w:r>
        <w:t xml:space="preserve">”</w:t>
      </w:r>
      <w:r>
        <w:t xml:space="preserve"> </w:t>
      </w:r>
      <w:r>
        <w:t xml:space="preserve">(300–600 monthly searches)</w:t>
      </w:r>
      <w:r>
        <w:t xml:space="preserve"> </w:t>
      </w:r>
      <w:fldSimple w:instr="NOTEREF _Ref_Footnote_3 \h \f">
        <w:r>
          <w:rPr>
            <w:vertAlign w:val="superscript"/>
          </w:rPr>
          <w:t>3</w:t>
        </w:r>
      </w:fldSimple>
      <w:r>
        <w:t xml:space="preserve">.</w:t>
      </w:r>
    </w:p>
    <w:p>
      <w:pPr>
        <w:pStyle w:val="BodyText"/>
      </w:pPr>
      <w:r>
        <w:t xml:space="preserve">This chapter provides a complete 12-month blog content calendar calibrated to South Africa’s regulatory timeline, a social media amplification framework designed to extract maximum value from each piece of content, and a set of linkable authority assets that earn backlinks from industry associations, government portals, and media outlets.</w:t>
      </w:r>
    </w:p>
    <w:p>
      <w:r>
        <w:pict>
          <v:rect style="width:0;height:1.5pt" o:hralign="center" o:hrstd="t" o:hr="t"/>
        </w:pict>
      </w:r>
    </w:p>
    <w:bookmarkStart w:id="101" w:name="month-blog-content-calendar"/>
    <w:p>
      <w:pPr>
        <w:pStyle w:val="Heading3"/>
      </w:pPr>
      <w:r>
        <w:t xml:space="preserve">5.1 12-Month Blog Content Calendar</w:t>
      </w:r>
    </w:p>
    <w:p>
      <w:pPr>
        <w:pStyle w:val="FirstParagraph"/>
      </w:pPr>
      <w:r>
        <w:t xml:space="preserve">The calendar is designed around five content pillars that align with RFC’s service lines and the search behaviour of South African food business owners: (1) R638 and COA compliance, (2) certification guidance (HACCP, ISO 22000, FSSC 22000), (3) sector-specific advice (spaza shops, home-based businesses, farming), (4) regulatory updates and forward-looking analysis, and (5) technical authority building (internal auditing, traceability, food defence). Each blog targets a primary keyword with demonstrated search volume and concludes with a context-specific call-to-action that funnels readers toward RFC’s training courses or consulting services.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Month</w:t>
            </w:r>
          </w:p>
        </w:tc>
        <w:tc>
          <w:tcPr/>
          <w:p>
            <w:pPr>
              <w:pStyle w:val="Compact"/>
              <w:jc w:val="left"/>
            </w:pPr>
            <w:r>
              <w:t xml:space="preserve">Blog Title</w:t>
            </w:r>
          </w:p>
        </w:tc>
        <w:tc>
          <w:tcPr/>
          <w:p>
            <w:pPr>
              <w:pStyle w:val="Compact"/>
              <w:jc w:val="left"/>
            </w:pPr>
            <w:r>
              <w:t xml:space="preserve">Primary Keyword</w:t>
            </w:r>
          </w:p>
        </w:tc>
        <w:tc>
          <w:tcPr/>
          <w:p>
            <w:pPr>
              <w:pStyle w:val="Compact"/>
              <w:jc w:val="left"/>
            </w:pPr>
            <w:r>
              <w:t xml:space="preserve">Target Audience</w:t>
            </w:r>
          </w:p>
        </w:tc>
        <w:tc>
          <w:tcPr/>
          <w:p>
            <w:pPr>
              <w:pStyle w:val="Compact"/>
              <w:jc w:val="left"/>
            </w:pPr>
            <w:r>
              <w:t xml:space="preserve">Content Pillar</w:t>
            </w:r>
          </w:p>
        </w:tc>
        <w:tc>
          <w:tcPr/>
          <w:p>
            <w:pPr>
              <w:pStyle w:val="Compact"/>
              <w:jc w:val="left"/>
            </w:pPr>
            <w:r>
              <w:t xml:space="preserve">Strategic Purpose</w:t>
            </w:r>
          </w:p>
        </w:tc>
      </w:tr>
      <w:tr>
        <w:tc>
          <w:tcPr/>
          <w:p>
            <w:pPr>
              <w:pStyle w:val="Compact"/>
              <w:jc w:val="left"/>
            </w:pPr>
            <w:r>
              <w:t xml:space="preserve">1</w:t>
            </w:r>
          </w:p>
        </w:tc>
        <w:tc>
          <w:tcPr/>
          <w:p>
            <w:pPr>
              <w:pStyle w:val="Compact"/>
              <w:jc w:val="left"/>
            </w:pPr>
            <w:r>
              <w:t xml:space="preserve">The Complete Guide to Getting Your Certificate of Acceptability (COA) in South Africa</w:t>
            </w:r>
          </w:p>
        </w:tc>
        <w:tc>
          <w:tcPr/>
          <w:p>
            <w:pPr>
              <w:pStyle w:val="Compact"/>
              <w:jc w:val="left"/>
            </w:pPr>
            <w:r>
              <w:t xml:space="preserve">Certificate of Acceptability South Africa</w:t>
            </w:r>
          </w:p>
        </w:tc>
        <w:tc>
          <w:tcPr/>
          <w:p>
            <w:pPr>
              <w:pStyle w:val="Compact"/>
              <w:jc w:val="left"/>
            </w:pPr>
            <w:r>
              <w:t xml:space="preserve">New food business owners, PICs</w:t>
            </w:r>
          </w:p>
        </w:tc>
        <w:tc>
          <w:tcPr/>
          <w:p>
            <w:pPr>
              <w:pStyle w:val="Compact"/>
              <w:jc w:val="left"/>
            </w:pPr>
            <w:r>
              <w:t xml:space="preserve">R638 &amp; COA Compliance</w:t>
            </w:r>
          </w:p>
        </w:tc>
        <w:tc>
          <w:tcPr/>
          <w:p>
            <w:pPr>
              <w:pStyle w:val="Compact"/>
              <w:jc w:val="left"/>
            </w:pPr>
            <w:r>
              <w:t xml:space="preserve">Capture highest-intent informational traffic; establish authority with municipal-specific guidance</w:t>
            </w:r>
          </w:p>
        </w:tc>
      </w:tr>
      <w:tr>
        <w:tc>
          <w:tcPr/>
          <w:p>
            <w:pPr>
              <w:pStyle w:val="Compact"/>
              <w:jc w:val="left"/>
            </w:pPr>
            <w:r>
              <w:t xml:space="preserve">2</w:t>
            </w:r>
          </w:p>
        </w:tc>
        <w:tc>
          <w:tcPr/>
          <w:p>
            <w:pPr>
              <w:pStyle w:val="Compact"/>
              <w:jc w:val="left"/>
            </w:pPr>
            <w:r>
              <w:t xml:space="preserve">R638 Explained: The 10 Legal Duties Every Person in Charge Must Know</w:t>
            </w:r>
          </w:p>
        </w:tc>
        <w:tc>
          <w:tcPr/>
          <w:p>
            <w:pPr>
              <w:pStyle w:val="Compact"/>
              <w:jc w:val="left"/>
            </w:pPr>
            <w:r>
              <w:t xml:space="preserve">R638 Person in Charge duties</w:t>
            </w:r>
          </w:p>
        </w:tc>
        <w:tc>
          <w:tcPr/>
          <w:p>
            <w:pPr>
              <w:pStyle w:val="Compact"/>
              <w:jc w:val="left"/>
            </w:pPr>
            <w:r>
              <w:t xml:space="preserve">PICs, restaurant owners, QA managers</w:t>
            </w:r>
          </w:p>
        </w:tc>
        <w:tc>
          <w:tcPr/>
          <w:p>
            <w:pPr>
              <w:pStyle w:val="Compact"/>
              <w:jc w:val="left"/>
            </w:pPr>
            <w:r>
              <w:t xml:space="preserve">R638 &amp; COA Compliance</w:t>
            </w:r>
          </w:p>
        </w:tc>
        <w:tc>
          <w:tcPr/>
          <w:p>
            <w:pPr>
              <w:pStyle w:val="Compact"/>
              <w:jc w:val="left"/>
            </w:pPr>
            <w:r>
              <w:t xml:space="preserve">Drive R638 PIC training enrolments; target SAATCA-accredited training searches</w:t>
            </w:r>
          </w:p>
        </w:tc>
      </w:tr>
      <w:tr>
        <w:tc>
          <w:tcPr/>
          <w:p>
            <w:pPr>
              <w:pStyle w:val="Compact"/>
              <w:jc w:val="left"/>
            </w:pPr>
            <w:r>
              <w:t xml:space="preserve">3</w:t>
            </w:r>
          </w:p>
        </w:tc>
        <w:tc>
          <w:tcPr/>
          <w:p>
            <w:pPr>
              <w:pStyle w:val="Compact"/>
              <w:jc w:val="left"/>
            </w:pPr>
            <w:r>
              <w:t xml:space="preserve">HACCP vs. ISO 22000 vs. FSSC 22000: Which Certification Does Your Business Actually Need?</w:t>
            </w:r>
          </w:p>
        </w:tc>
        <w:tc>
          <w:tcPr/>
          <w:p>
            <w:pPr>
              <w:pStyle w:val="Compact"/>
              <w:jc w:val="left"/>
            </w:pPr>
            <w:r>
              <w:t xml:space="preserve">HACCP ISO 22000 FSSC 22000 South Africa</w:t>
            </w:r>
          </w:p>
        </w:tc>
        <w:tc>
          <w:tcPr/>
          <w:p>
            <w:pPr>
              <w:pStyle w:val="Compact"/>
              <w:jc w:val="left"/>
            </w:pPr>
            <w:r>
              <w:t xml:space="preserve">Manufacturers, exporters, retailers</w:t>
            </w:r>
          </w:p>
        </w:tc>
        <w:tc>
          <w:tcPr/>
          <w:p>
            <w:pPr>
              <w:pStyle w:val="Compact"/>
              <w:jc w:val="left"/>
            </w:pPr>
            <w:r>
              <w:t xml:space="preserve">Certification Guidance</w:t>
            </w:r>
          </w:p>
        </w:tc>
        <w:tc>
          <w:tcPr/>
          <w:p>
            <w:pPr>
              <w:pStyle w:val="Compact"/>
              <w:jc w:val="left"/>
            </w:pPr>
            <w:r>
              <w:t xml:space="preserve">Position RFC for consulting engagements; comparison keywords have strong commercial intent</w:t>
            </w:r>
          </w:p>
        </w:tc>
      </w:tr>
      <w:tr>
        <w:tc>
          <w:tcPr/>
          <w:p>
            <w:pPr>
              <w:pStyle w:val="Compact"/>
              <w:jc w:val="left"/>
            </w:pPr>
            <w:r>
              <w:t xml:space="preserve">4</w:t>
            </w:r>
          </w:p>
        </w:tc>
        <w:tc>
          <w:tcPr/>
          <w:p>
            <w:pPr>
              <w:pStyle w:val="Compact"/>
              <w:jc w:val="left"/>
            </w:pPr>
            <w:r>
              <w:t xml:space="preserve">The Spaza Shop Compliance Guide: Navigating South Africa’s 2025 Registration Requirements</w:t>
            </w:r>
          </w:p>
        </w:tc>
        <w:tc>
          <w:tcPr/>
          <w:p>
            <w:pPr>
              <w:pStyle w:val="Compact"/>
              <w:jc w:val="left"/>
            </w:pPr>
            <w:r>
              <w:t xml:space="preserve">Spaza shop registration South Africa 2025</w:t>
            </w:r>
          </w:p>
        </w:tc>
        <w:tc>
          <w:tcPr/>
          <w:p>
            <w:pPr>
              <w:pStyle w:val="Compact"/>
              <w:jc w:val="left"/>
            </w:pPr>
            <w:r>
              <w:t xml:space="preserve">Spaza shop owners, informal traders</w:t>
            </w:r>
          </w:p>
        </w:tc>
        <w:tc>
          <w:tcPr/>
          <w:p>
            <w:pPr>
              <w:pStyle w:val="Compact"/>
              <w:jc w:val="left"/>
            </w:pPr>
            <w:r>
              <w:t xml:space="preserve">Sector-Specific Advice</w:t>
            </w:r>
          </w:p>
        </w:tc>
        <w:tc>
          <w:tcPr/>
          <w:p>
            <w:pPr>
              <w:pStyle w:val="Compact"/>
              <w:jc w:val="left"/>
            </w:pPr>
            <w:r>
              <w:t xml:space="preserve">Capitalise on Ramaphosa’s November 2024 registration crackdown; massive addressable market (150,000+ shops)</w:t>
            </w:r>
          </w:p>
        </w:tc>
      </w:tr>
      <w:tr>
        <w:tc>
          <w:tcPr/>
          <w:p>
            <w:pPr>
              <w:pStyle w:val="Compact"/>
              <w:jc w:val="left"/>
            </w:pPr>
            <w:r>
              <w:t xml:space="preserve">5</w:t>
            </w:r>
          </w:p>
        </w:tc>
        <w:tc>
          <w:tcPr/>
          <w:p>
            <w:pPr>
              <w:pStyle w:val="Compact"/>
              <w:jc w:val="left"/>
            </w:pPr>
            <w:r>
              <w:t xml:space="preserve">Food Safety Culture: What FSSC 22000 Version 6 Requires and How to Build It</w:t>
            </w:r>
          </w:p>
        </w:tc>
        <w:tc>
          <w:tcPr/>
          <w:p>
            <w:pPr>
              <w:pStyle w:val="Compact"/>
              <w:jc w:val="left"/>
            </w:pPr>
            <w:r>
              <w:t xml:space="preserve">Food safety culture FSSC 22000 Version 6</w:t>
            </w:r>
          </w:p>
        </w:tc>
        <w:tc>
          <w:tcPr/>
          <w:p>
            <w:pPr>
              <w:pStyle w:val="Compact"/>
              <w:jc w:val="left"/>
            </w:pPr>
            <w:r>
              <w:t xml:space="preserve">FSSC-certified manufacturers, QA managers</w:t>
            </w:r>
          </w:p>
        </w:tc>
        <w:tc>
          <w:tcPr/>
          <w:p>
            <w:pPr>
              <w:pStyle w:val="Compact"/>
              <w:jc w:val="left"/>
            </w:pPr>
            <w:r>
              <w:t xml:space="preserve">Certification Guidance</w:t>
            </w:r>
          </w:p>
        </w:tc>
        <w:tc>
          <w:tcPr/>
          <w:p>
            <w:pPr>
              <w:pStyle w:val="Compact"/>
              <w:jc w:val="left"/>
            </w:pPr>
            <w:r>
              <w:t xml:space="preserve">Leverage Version 6’s mandatory culture requirement (effective April 2024); promote academy course</w:t>
            </w:r>
          </w:p>
        </w:tc>
      </w:tr>
      <w:tr>
        <w:tc>
          <w:tcPr/>
          <w:p>
            <w:pPr>
              <w:pStyle w:val="Compact"/>
              <w:jc w:val="left"/>
            </w:pPr>
            <w:r>
              <w:t xml:space="preserve">6</w:t>
            </w:r>
          </w:p>
        </w:tc>
        <w:tc>
          <w:tcPr/>
          <w:p>
            <w:pPr>
              <w:pStyle w:val="Compact"/>
              <w:jc w:val="left"/>
            </w:pPr>
            <w:r>
              <w:t xml:space="preserve">How to Start a Home-Based Food Business in South Africa</w:t>
            </w:r>
          </w:p>
        </w:tc>
        <w:tc>
          <w:tcPr/>
          <w:p>
            <w:pPr>
              <w:pStyle w:val="Compact"/>
              <w:jc w:val="left"/>
            </w:pPr>
            <w:r>
              <w:t xml:space="preserve">Home-based food business South Africa regulations</w:t>
            </w:r>
          </w:p>
        </w:tc>
        <w:tc>
          <w:tcPr/>
          <w:p>
            <w:pPr>
              <w:pStyle w:val="Compact"/>
              <w:jc w:val="left"/>
            </w:pPr>
            <w:r>
              <w:t xml:space="preserve">Home bakers, caterers, sauce makers</w:t>
            </w:r>
          </w:p>
        </w:tc>
        <w:tc>
          <w:tcPr/>
          <w:p>
            <w:pPr>
              <w:pStyle w:val="Compact"/>
              <w:jc w:val="left"/>
            </w:pPr>
            <w:r>
              <w:t xml:space="preserve">Sector-Specific Advice</w:t>
            </w:r>
          </w:p>
        </w:tc>
        <w:tc>
          <w:tcPr/>
          <w:p>
            <w:pPr>
              <w:pStyle w:val="Compact"/>
              <w:jc w:val="left"/>
            </w:pPr>
            <w:r>
              <w:t xml:space="preserve">Capture post-COVID boom in cottage food businesses; lower-competition keyword set</w:t>
            </w:r>
          </w:p>
        </w:tc>
      </w:tr>
      <w:tr>
        <w:tc>
          <w:tcPr/>
          <w:p>
            <w:pPr>
              <w:pStyle w:val="Compact"/>
              <w:jc w:val="left"/>
            </w:pPr>
            <w:r>
              <w:t xml:space="preserve">7</w:t>
            </w:r>
          </w:p>
        </w:tc>
        <w:tc>
          <w:tcPr/>
          <w:p>
            <w:pPr>
              <w:pStyle w:val="Compact"/>
              <w:jc w:val="left"/>
            </w:pPr>
            <w:r>
              <w:t xml:space="preserve">Understanding TACCP and VACCP: Food Defence and Food Fraud Protection</w:t>
            </w:r>
          </w:p>
        </w:tc>
        <w:tc>
          <w:tcPr/>
          <w:p>
            <w:pPr>
              <w:pStyle w:val="Compact"/>
              <w:jc w:val="left"/>
            </w:pPr>
            <w:r>
              <w:t xml:space="preserve">TACCP VACCP South Africa food defence</w:t>
            </w:r>
          </w:p>
        </w:tc>
        <w:tc>
          <w:tcPr/>
          <w:p>
            <w:pPr>
              <w:pStyle w:val="Compact"/>
              <w:jc w:val="left"/>
            </w:pPr>
            <w:r>
              <w:t xml:space="preserve">QA managers, procurement officers</w:t>
            </w:r>
          </w:p>
        </w:tc>
        <w:tc>
          <w:tcPr/>
          <w:p>
            <w:pPr>
              <w:pStyle w:val="Compact"/>
              <w:jc w:val="left"/>
            </w:pPr>
            <w:r>
              <w:t xml:space="preserve">Technical Authority</w:t>
            </w:r>
          </w:p>
        </w:tc>
        <w:tc>
          <w:tcPr/>
          <w:p>
            <w:pPr>
              <w:pStyle w:val="Compact"/>
              <w:jc w:val="left"/>
            </w:pPr>
            <w:r>
              <w:t xml:space="preserve">Support existing academy course; reference recent peanut butter aflatoxin recall for topical urgency</w:t>
            </w:r>
          </w:p>
        </w:tc>
      </w:tr>
      <w:tr>
        <w:tc>
          <w:tcPr/>
          <w:p>
            <w:pPr>
              <w:pStyle w:val="Compact"/>
              <w:jc w:val="left"/>
            </w:pPr>
            <w:r>
              <w:t xml:space="preserve">8</w:t>
            </w:r>
          </w:p>
        </w:tc>
        <w:tc>
          <w:tcPr/>
          <w:p>
            <w:pPr>
              <w:pStyle w:val="Compact"/>
              <w:jc w:val="left"/>
            </w:pPr>
            <w:r>
              <w:t xml:space="preserve">South Africa’s New Labelling Regulations (R3337): Front-of-Pack Warning Labels</w:t>
            </w:r>
          </w:p>
        </w:tc>
        <w:tc>
          <w:tcPr/>
          <w:p>
            <w:pPr>
              <w:pStyle w:val="Compact"/>
              <w:jc w:val="left"/>
            </w:pPr>
            <w:r>
              <w:t xml:space="preserve">R3337 food labelling regulations South Africa</w:t>
            </w:r>
          </w:p>
        </w:tc>
        <w:tc>
          <w:tcPr/>
          <w:p>
            <w:pPr>
              <w:pStyle w:val="Compact"/>
              <w:jc w:val="left"/>
            </w:pPr>
            <w:r>
              <w:t xml:space="preserve">Food manufacturers, packagers, product developers</w:t>
            </w:r>
          </w:p>
        </w:tc>
        <w:tc>
          <w:tcPr/>
          <w:p>
            <w:pPr>
              <w:pStyle w:val="Compact"/>
              <w:jc w:val="left"/>
            </w:pPr>
            <w:r>
              <w:t xml:space="preserve">Regulatory Updates</w:t>
            </w:r>
          </w:p>
        </w:tc>
        <w:tc>
          <w:tcPr/>
          <w:p>
            <w:pPr>
              <w:pStyle w:val="Compact"/>
              <w:jc w:val="left"/>
            </w:pPr>
            <w:r>
              <w:t xml:space="preserve">First-mover advantage on draft regulation expected 2026; limited competitor coverage</w:t>
            </w:r>
          </w:p>
        </w:tc>
      </w:tr>
      <w:tr>
        <w:tc>
          <w:tcPr/>
          <w:p>
            <w:pPr>
              <w:pStyle w:val="Compact"/>
              <w:jc w:val="left"/>
            </w:pPr>
            <w:r>
              <w:t xml:space="preserve">9</w:t>
            </w:r>
          </w:p>
        </w:tc>
        <w:tc>
          <w:tcPr/>
          <w:p>
            <w:pPr>
              <w:pStyle w:val="Compact"/>
              <w:jc w:val="left"/>
            </w:pPr>
            <w:r>
              <w:t xml:space="preserve">GLOBALG.A.P. Certification for South African Farmers</w:t>
            </w:r>
          </w:p>
        </w:tc>
        <w:tc>
          <w:tcPr/>
          <w:p>
            <w:pPr>
              <w:pStyle w:val="Compact"/>
              <w:jc w:val="left"/>
            </w:pPr>
            <w:r>
              <w:t xml:space="preserve">GLOBALG.A.P. certification South Africa farmers</w:t>
            </w:r>
          </w:p>
        </w:tc>
        <w:tc>
          <w:tcPr/>
          <w:p>
            <w:pPr>
              <w:pStyle w:val="Compact"/>
              <w:jc w:val="left"/>
            </w:pPr>
            <w:r>
              <w:t xml:space="preserve">Farmers, packhouses, agricultural cooperatives</w:t>
            </w:r>
          </w:p>
        </w:tc>
        <w:tc>
          <w:tcPr/>
          <w:p>
            <w:pPr>
              <w:pStyle w:val="Compact"/>
              <w:jc w:val="left"/>
            </w:pPr>
            <w:r>
              <w:t xml:space="preserve">Sector-Specific Advice</w:t>
            </w:r>
          </w:p>
        </w:tc>
        <w:tc>
          <w:tcPr/>
          <w:p>
            <w:pPr>
              <w:pStyle w:val="Compact"/>
              <w:jc w:val="left"/>
            </w:pPr>
            <w:r>
              <w:t xml:space="preserve">Support consulting service line; target export-oriented agricultural clients</w:t>
            </w:r>
          </w:p>
        </w:tc>
      </w:tr>
      <w:tr>
        <w:tc>
          <w:tcPr/>
          <w:p>
            <w:pPr>
              <w:pStyle w:val="Compact"/>
              <w:jc w:val="left"/>
            </w:pPr>
            <w:r>
              <w:t xml:space="preserve">10</w:t>
            </w:r>
          </w:p>
        </w:tc>
        <w:tc>
          <w:tcPr/>
          <w:p>
            <w:pPr>
              <w:pStyle w:val="Compact"/>
              <w:jc w:val="left"/>
            </w:pPr>
            <w:r>
              <w:t xml:space="preserve">Internal Auditing for Food Safety: Building an Effective Audit Programme</w:t>
            </w:r>
          </w:p>
        </w:tc>
        <w:tc>
          <w:tcPr/>
          <w:p>
            <w:pPr>
              <w:pStyle w:val="Compact"/>
              <w:jc w:val="left"/>
            </w:pPr>
            <w:r>
              <w:t xml:space="preserve">Internal food safety auditing South Africa</w:t>
            </w:r>
          </w:p>
        </w:tc>
        <w:tc>
          <w:tcPr/>
          <w:p>
            <w:pPr>
              <w:pStyle w:val="Compact"/>
              <w:jc w:val="left"/>
            </w:pPr>
            <w:r>
              <w:t xml:space="preserve">Internal auditors, food safety teams</w:t>
            </w:r>
          </w:p>
        </w:tc>
        <w:tc>
          <w:tcPr/>
          <w:p>
            <w:pPr>
              <w:pStyle w:val="Compact"/>
              <w:jc w:val="left"/>
            </w:pPr>
            <w:r>
              <w:t xml:space="preserve">Technical Authority</w:t>
            </w:r>
          </w:p>
        </w:tc>
        <w:tc>
          <w:tcPr/>
          <w:p>
            <w:pPr>
              <w:pStyle w:val="Compact"/>
              <w:jc w:val="left"/>
            </w:pPr>
            <w:r>
              <w:t xml:space="preserve">Drive internal auditor training enrolments; target pre-certification businesses</w:t>
            </w:r>
          </w:p>
        </w:tc>
      </w:tr>
      <w:tr>
        <w:tc>
          <w:tcPr/>
          <w:p>
            <w:pPr>
              <w:pStyle w:val="Compact"/>
              <w:jc w:val="left"/>
            </w:pPr>
            <w:r>
              <w:t xml:space="preserve">11</w:t>
            </w:r>
          </w:p>
        </w:tc>
        <w:tc>
          <w:tcPr/>
          <w:p>
            <w:pPr>
              <w:pStyle w:val="Compact"/>
              <w:jc w:val="left"/>
            </w:pPr>
            <w:r>
              <w:t xml:space="preserve">Food Traceability and Product Recall Management: A South African Survival Guide</w:t>
            </w:r>
          </w:p>
        </w:tc>
        <w:tc>
          <w:tcPr/>
          <w:p>
            <w:pPr>
              <w:pStyle w:val="Compact"/>
              <w:jc w:val="left"/>
            </w:pPr>
            <w:r>
              <w:t xml:space="preserve">Food traceability product recall South Africa</w:t>
            </w:r>
          </w:p>
        </w:tc>
        <w:tc>
          <w:tcPr/>
          <w:p>
            <w:pPr>
              <w:pStyle w:val="Compact"/>
              <w:jc w:val="left"/>
            </w:pPr>
            <w:r>
              <w:t xml:space="preserve">Manufacturers, distributors, retailers</w:t>
            </w:r>
          </w:p>
        </w:tc>
        <w:tc>
          <w:tcPr/>
          <w:p>
            <w:pPr>
              <w:pStyle w:val="Compact"/>
              <w:jc w:val="left"/>
            </w:pPr>
            <w:r>
              <w:t xml:space="preserve">Technical Authority</w:t>
            </w:r>
          </w:p>
        </w:tc>
        <w:tc>
          <w:tcPr/>
          <w:p>
            <w:pPr>
              <w:pStyle w:val="Compact"/>
              <w:jc w:val="left"/>
            </w:pPr>
            <w:r>
              <w:t xml:space="preserve">Capitalise on 2024 recall wave; position traceability consulting services</w:t>
            </w:r>
          </w:p>
        </w:tc>
      </w:tr>
      <w:tr>
        <w:tc>
          <w:tcPr/>
          <w:p>
            <w:pPr>
              <w:pStyle w:val="Compact"/>
              <w:jc w:val="left"/>
            </w:pPr>
            <w:r>
              <w:t xml:space="preserve">12</w:t>
            </w:r>
          </w:p>
        </w:tc>
        <w:tc>
          <w:tcPr/>
          <w:p>
            <w:pPr>
              <w:pStyle w:val="Compact"/>
              <w:jc w:val="left"/>
            </w:pPr>
            <w:r>
              <w:t xml:space="preserve">The 2026 South African Food Safety Outlook</w:t>
            </w:r>
          </w:p>
        </w:tc>
        <w:tc>
          <w:tcPr/>
          <w:p>
            <w:pPr>
              <w:pStyle w:val="Compact"/>
              <w:jc w:val="left"/>
            </w:pPr>
            <w:r>
              <w:t xml:space="preserve">South African food safety trends 2026</w:t>
            </w:r>
          </w:p>
        </w:tc>
        <w:tc>
          <w:tcPr/>
          <w:p>
            <w:pPr>
              <w:pStyle w:val="Compact"/>
              <w:jc w:val="left"/>
            </w:pPr>
            <w:r>
              <w:t xml:space="preserve">C-suite, QA directors, compliance officers</w:t>
            </w:r>
          </w:p>
        </w:tc>
        <w:tc>
          <w:tcPr/>
          <w:p>
            <w:pPr>
              <w:pStyle w:val="Compact"/>
              <w:jc w:val="left"/>
            </w:pPr>
            <w:r>
              <w:t xml:space="preserve">Regulatory Updates</w:t>
            </w:r>
          </w:p>
        </w:tc>
        <w:tc>
          <w:tcPr/>
          <w:p>
            <w:pPr>
              <w:pStyle w:val="Compact"/>
              <w:jc w:val="left"/>
            </w:pPr>
            <w:r>
              <w:t xml:space="preserve">Year-end thought leadership positioning; generate shares and backlinks</w:t>
            </w:r>
          </w:p>
        </w:tc>
      </w:tr>
    </w:tbl>
    <w:p>
      <w:pPr>
        <w:pStyle w:val="BodyText"/>
      </w:pPr>
      <w:r>
        <w:t xml:space="preserve">The calendar is architected to create compounding SEO authority. Months 1 and 2 establish foundational R638 content that interlinks with every subsequent article — since R638 compliance is a baseline requirement regardless of business type. Months 3 through 6 target certification and sector-specific keywords that signal higher commercial intent and lead to consulting inquiries. Months 7 through 11 build technical depth in specialised domains where RFC’s 12+ years of auditor experience differentiates against newer entrants such as Shilux and Your Food Safety Guide</w:t>
      </w:r>
      <w:r>
        <w:t xml:space="preserve"> </w:t>
      </w:r>
      <w:fldSimple w:instr="NOTEREF _Ref_Footnote_23 \h \f">
        <w:r>
          <w:rPr>
            <w:vertAlign w:val="superscript"/>
          </w:rPr>
          <w:t>23</w:t>
        </w:r>
      </w:fldSimple>
      <w:r>
        <w:t xml:space="preserve"> </w:t>
      </w:r>
      <w:fldSimple w:instr="NOTEREF _Ref_Footnote_24 \h \f">
        <w:r>
          <w:rPr>
            <w:vertAlign w:val="superscript"/>
          </w:rPr>
          <w:t>24</w:t>
        </w:r>
      </w:fldSimple>
      <w:r>
        <w:t xml:space="preserve">. Month 12 delivers a forward-looking synthesis that earns referral links from industry media and positions RFC as a strategic intelligence source rather than merely a training provider.</w:t>
      </w:r>
    </w:p>
    <w:p>
      <w:pPr>
        <w:pStyle w:val="BodyText"/>
      </w:pPr>
      <w:r>
        <w:rPr>
          <w:bCs/>
          <w:b/>
        </w:rPr>
        <w:t xml:space="preserve">Month 1: The Complete Guide to Getting Your Certificate of Acceptability (COA)</w:t>
      </w:r>
      <w:r>
        <w:t xml:space="preserve"> </w:t>
      </w:r>
      <w:r>
        <w:t xml:space="preserve">targets the primary keyword</w:t>
      </w:r>
      <w:r>
        <w:t xml:space="preserve"> </w:t>
      </w:r>
      <w:r>
        <w:t xml:space="preserve">“</w:t>
      </w:r>
      <w:r>
        <w:t xml:space="preserve">Certificate of Acceptability South Africa</w:t>
      </w:r>
      <w:r>
        <w:t xml:space="preserve">”</w:t>
      </w:r>
      <w:r>
        <w:t xml:space="preserve"> </w:t>
      </w:r>
      <w:r>
        <w:t xml:space="preserve">(300–600 monthly searches, low-to-medium competition)</w:t>
      </w:r>
      <w:r>
        <w:t xml:space="preserve"> </w:t>
      </w:r>
      <w:fldSimple w:instr="NOTEREF _Ref_Footnote_3 \h \f">
        <w:r>
          <w:rPr>
            <w:vertAlign w:val="superscript"/>
          </w:rPr>
          <w:t>3</w:t>
        </w:r>
      </w:fldSimple>
      <w:r>
        <w:t xml:space="preserve">. The 2,000–2,500 word article should address the complete COA application process across all nine provinces, including municipal fee structures ranging from free in Cape Town to R2,152 in Tshwane, documentation requirements, inspection preparation protocols, and common failure reasons. Province-specific contact details differentiate this guide from generic summaries and earn backlinks from municipal resource pages. The CTA drives readers toward RFC’s on-site gap audit service, priced from R2,500 for Gauteng-based premises. LinkedIn amplification should lead with the enforcement angle: Environmental Health Practitioners can close premises on the spot without a court order, a fact that commands attention among PICs who bear personal liability under R638</w:t>
      </w:r>
      <w:r>
        <w:t xml:space="preserve"> </w:t>
      </w:r>
      <w:fldSimple w:instr="NOTEREF _Ref_Footnote_39 \h \f">
        <w:r>
          <w:rPr>
            <w:vertAlign w:val="superscript"/>
          </w:rPr>
          <w:t>39</w:t>
        </w:r>
      </w:fldSimple>
      <w:r>
        <w:t xml:space="preserve">.</w:t>
      </w:r>
    </w:p>
    <w:p>
      <w:pPr>
        <w:pStyle w:val="BodyText"/>
      </w:pPr>
      <w:r>
        <w:rPr>
          <w:bCs/>
          <w:b/>
        </w:rPr>
        <w:t xml:space="preserve">Month 2: R638 Explained — The 10 Legal Duties Every Person in Charge Must Know</w:t>
      </w:r>
      <w:r>
        <w:t xml:space="preserve"> </w:t>
      </w:r>
      <w:r>
        <w:t xml:space="preserve">targets</w:t>
      </w:r>
      <w:r>
        <w:t xml:space="preserve"> </w:t>
      </w:r>
      <w:r>
        <w:t xml:space="preserve">“</w:t>
      </w:r>
      <w:r>
        <w:t xml:space="preserve">R638 Person in Charge duties,</w:t>
      </w:r>
      <w:r>
        <w:t xml:space="preserve">”</w:t>
      </w:r>
      <w:r>
        <w:t xml:space="preserve"> </w:t>
      </w:r>
      <w:r>
        <w:t xml:space="preserve">a keyword cluster with direct commercial relevance to RFC’s SAATCA-accredited training course. The content decodes Regulation R638 section-by-section, emphasising the ten duties that attach personally to the PIC: training requirements, food handler obligations, structural requirements, temperature control, pest control, waste management, protective clothing, and record-keeping. Real-world penalty examples give the article shareability, while an embedded PIC duties checklist serves as a lead capture mechanism. Competitor Entecom deploys a similar strategy with 61+ downloadable eBooks that fuel their email marketing engine</w:t>
      </w:r>
      <w:r>
        <w:t xml:space="preserve"> </w:t>
      </w:r>
      <w:fldSimple w:instr="NOTEREF _Ref_Footnote_37 \h \f">
        <w:r>
          <w:rPr>
            <w:vertAlign w:val="superscript"/>
          </w:rPr>
          <w:t>37</w:t>
        </w:r>
      </w:fldSimple>
      <w:r>
        <w:t xml:space="preserve">.</w:t>
      </w:r>
    </w:p>
    <w:p>
      <w:pPr>
        <w:pStyle w:val="BodyText"/>
      </w:pPr>
      <w:r>
        <w:rPr>
          <w:bCs/>
          <w:b/>
        </w:rPr>
        <w:t xml:space="preserve">Month 3: HACCP vs. ISO 22000 vs. FSSC 22000</w:t>
      </w:r>
      <w:r>
        <w:t xml:space="preserve"> </w:t>
      </w:r>
      <w:r>
        <w:t xml:space="preserve">attracts readers with high commercial intent — they are actively evaluating which standard to pursue, meaning they sit within weeks or months of engaging a consultant. A decision-tree format matches business types to certification requirements: restaurants (HACCP sufficient), manufacturers supplying major retailers (FSSC 22000 required by Woolworths, Checkers, Pick n Pay), exporters (ISO 22000 or FSSC 22000), and artisan producers (basic HACCP). ASC publishes similar comparisons but frames content from a Gqeberha perspective; RFC differentiates by embedding Pretoria and Johannesburg-specific certification body contacts</w:t>
      </w:r>
      <w:r>
        <w:t xml:space="preserve"> </w:t>
      </w:r>
      <w:fldSimple w:instr="NOTEREF _Ref_Footnote_9 \h \f">
        <w:r>
          <w:rPr>
            <w:vertAlign w:val="superscript"/>
          </w:rPr>
          <w:t>9</w:t>
        </w:r>
      </w:fldSimple>
      <w:r>
        <w:t xml:space="preserve">.</w:t>
      </w:r>
    </w:p>
    <w:p>
      <w:pPr>
        <w:pStyle w:val="BodyText"/>
      </w:pPr>
      <w:r>
        <w:rPr>
          <w:bCs/>
          <w:b/>
        </w:rPr>
        <w:t xml:space="preserve">Month 4: The Spaza Shop Compliance Guide</w:t>
      </w:r>
      <w:r>
        <w:t xml:space="preserve"> </w:t>
      </w:r>
      <w:r>
        <w:t xml:space="preserve">addresses the urgent compliance needs of South Africa’s 150,000+ informal food retailers following President Ramaphosa’s November 2024 registration crackdown</w:t>
      </w:r>
      <w:r>
        <w:t xml:space="preserve"> </w:t>
      </w:r>
      <w:r>
        <w:rPr>
          <w:vertAlign w:val="superscript"/>
        </w:rPr>
        <w:footnoteReference w:id="69"/>
      </w:r>
      <w:r>
        <w:t xml:space="preserve">. Coverage includes the Standard Draft By-Law for Township Economies, COA processes for informal traders, R638 basics scaled to small operations, and pest control requirements in the wake of the Terbufos and Aldicarb poisoning crisis. A township-specific compliance checklist positions RFC as an ally to a segment that most competitors ignore — ASC, Entecom, and Progress Excellence focus overwhelmingly on formal manufacturing and retail clients</w:t>
      </w:r>
      <w:r>
        <w:t xml:space="preserve"> </w:t>
      </w:r>
      <w:fldSimple w:instr="NOTEREF _Ref_Footnote_9 \h \f">
        <w:r>
          <w:rPr>
            <w:vertAlign w:val="superscript"/>
          </w:rPr>
          <w:t>9</w:t>
        </w:r>
      </w:fldSimple>
      <w:r>
        <w:t xml:space="preserve"> </w:t>
      </w:r>
      <w:fldSimple w:instr="NOTEREF _Ref_Footnote_36 \h \f">
        <w:r>
          <w:rPr>
            <w:vertAlign w:val="superscript"/>
          </w:rPr>
          <w:t>36</w:t>
        </w:r>
      </w:fldSimple>
      <w:r>
        <w:t xml:space="preserve"> </w:t>
      </w:r>
      <w:fldSimple w:instr="NOTEREF _Ref_Footnote_40 \h \f">
        <w:r>
          <w:rPr>
            <w:vertAlign w:val="superscript"/>
          </w:rPr>
          <w:t>40</w:t>
        </w:r>
      </w:fldSimple>
      <w:r>
        <w:t xml:space="preserve">. Social amplification should prioritise Facebook community groups and tag municipal Environmental Health Departments on LinkedIn.</w:t>
      </w:r>
    </w:p>
    <w:p>
      <w:pPr>
        <w:pStyle w:val="BodyText"/>
      </w:pPr>
      <w:r>
        <w:rPr>
          <w:bCs/>
          <w:b/>
        </w:rPr>
        <w:t xml:space="preserve">Month 5: Food Safety Culture and FSSC 22000 Version 6</w:t>
      </w:r>
      <w:r>
        <w:t xml:space="preserve"> </w:t>
      </w:r>
      <w:r>
        <w:t xml:space="preserve">leverages the standard’s April 2024 introduction of mandatory food safety and quality culture requirements (Additional Requirement 2.5.8). The article explains the five dimensions of food safety culture, provides templates for culture objectives and sample plans, and references GFSI benchmarking requirements. This content directly supports RFC Academy’s Food Safety Culture course and captures traffic from the estimated 30–50 monthly searches for related training terms</w:t>
      </w:r>
      <w:r>
        <w:t xml:space="preserve"> </w:t>
      </w:r>
      <w:fldSimple w:instr="NOTEREF _Ref_Footnote_3 \h \f">
        <w:r>
          <w:rPr>
            <w:vertAlign w:val="superscript"/>
          </w:rPr>
          <w:t>3</w:t>
        </w:r>
      </w:fldSimple>
      <w:r>
        <w:t xml:space="preserve">.</w:t>
      </w:r>
    </w:p>
    <w:p>
      <w:pPr>
        <w:pStyle w:val="BodyText"/>
      </w:pPr>
      <w:r>
        <w:rPr>
          <w:bCs/>
          <w:b/>
        </w:rPr>
        <w:t xml:space="preserve">Month 6: How to Start a Home-Based Food Business in South Africa</w:t>
      </w:r>
      <w:r>
        <w:t xml:space="preserve"> </w:t>
      </w:r>
      <w:r>
        <w:t xml:space="preserve">captures the post-COVID surge in cottage food operations. The article extends beyond COA application — where competitor Food Safety Matters already publishes</w:t>
      </w:r>
      <w:r>
        <w:t xml:space="preserve"> </w:t>
      </w:r>
      <w:fldSimple w:instr="NOTEREF _Ref_Footnote_38 \h \f">
        <w:r>
          <w:rPr>
            <w:vertAlign w:val="superscript"/>
          </w:rPr>
          <w:t>38</w:t>
        </w:r>
      </w:fldSimple>
      <w:r>
        <w:t xml:space="preserve">— into operational compliance: R638 record-keeping, supplier approval, and basic HACCP principles. A</w:t>
      </w:r>
      <w:r>
        <w:t xml:space="preserve"> </w:t>
      </w:r>
      <w:r>
        <w:t xml:space="preserve">“</w:t>
      </w:r>
      <w:r>
        <w:t xml:space="preserve">Home Kitchen Setup Checklist</w:t>
      </w:r>
      <w:r>
        <w:t xml:space="preserve">”</w:t>
      </w:r>
      <w:r>
        <w:t xml:space="preserve"> </w:t>
      </w:r>
      <w:r>
        <w:t xml:space="preserve">captures email addresses from an audience that can be nurtured toward affordable online courses before scaling to consulting.</w:t>
      </w:r>
    </w:p>
    <w:p>
      <w:pPr>
        <w:pStyle w:val="BodyText"/>
      </w:pPr>
      <w:r>
        <w:rPr>
          <w:bCs/>
          <w:b/>
        </w:rPr>
        <w:t xml:space="preserve">Month 7: Understanding TACCP and VACCP</w:t>
      </w:r>
      <w:r>
        <w:t xml:space="preserve"> </w:t>
      </w:r>
      <w:r>
        <w:t xml:space="preserve">demystifies food defence for a South African audience that has historically under-invested in this area. The R500,000+ in fines from the 2024 peanut butter aflatoxin recall provides a visceral case study demonstrating why fraud mitigation is no longer optional</w:t>
      </w:r>
      <w:r>
        <w:t xml:space="preserve"> </w:t>
      </w:r>
      <w:r>
        <w:rPr>
          <w:vertAlign w:val="superscript"/>
        </w:rPr>
        <w:footnoteReference w:id="70"/>
      </w:r>
      <w:r>
        <w:t xml:space="preserve">. A downloadable threat assessment template supports the academy’s existing Food Defence &amp; Food Fraud Mitigation course.</w:t>
      </w:r>
    </w:p>
    <w:p>
      <w:pPr>
        <w:pStyle w:val="BodyText"/>
      </w:pPr>
      <w:r>
        <w:rPr>
          <w:bCs/>
          <w:b/>
        </w:rPr>
        <w:t xml:space="preserve">Month 8: South Africa’s New Labelling Regulations (R3337)</w:t>
      </w:r>
      <w:r>
        <w:t xml:space="preserve"> </w:t>
      </w:r>
      <w:r>
        <w:t xml:space="preserve">offers first-mover SEO advantage on draft regulation expected in 2026. No major competitor has published comprehensive R3337 content, and search volume will grow rapidly as implementation approaches. Coverage should include the Nutrient Profiling Model, affected product categories, allergen declaration changes, and a preparation timeline for manufacturers — positioning RFC for paid label review engagements.</w:t>
      </w:r>
    </w:p>
    <w:p>
      <w:pPr>
        <w:pStyle w:val="BodyText"/>
      </w:pPr>
      <w:r>
        <w:rPr>
          <w:bCs/>
          <w:b/>
        </w:rPr>
        <w:t xml:space="preserve">Month 9: GLOBALG.A.P. Certification for South African Farmers</w:t>
      </w:r>
      <w:r>
        <w:t xml:space="preserve"> </w:t>
      </w:r>
      <w:r>
        <w:t xml:space="preserve">directly supports RFC’s agricultural consulting service line. The guide covers the IFA V6 standard’s ten core topics, certification timelines (4–8 weeks post-inspection), cost considerations, and group certification options for small-scale farmers. Competitor Entecom holds Farm Assurer status</w:t>
      </w:r>
      <w:r>
        <w:t xml:space="preserve"> </w:t>
      </w:r>
      <w:fldSimple w:instr="NOTEREF _Ref_Footnote_36 \h \f">
        <w:r>
          <w:rPr>
            <w:vertAlign w:val="superscript"/>
          </w:rPr>
          <w:t>36</w:t>
        </w:r>
      </w:fldSimple>
      <w:r>
        <w:t xml:space="preserve">; RFC differentiates by emphasising hands-on implementation support rather than software-based tools.</w:t>
      </w:r>
    </w:p>
    <w:p>
      <w:pPr>
        <w:pStyle w:val="BodyText"/>
      </w:pPr>
      <w:r>
        <w:rPr>
          <w:bCs/>
          <w:b/>
        </w:rPr>
        <w:t xml:space="preserve">Month 10: Internal Auditing for Food Safety</w:t>
      </w:r>
      <w:r>
        <w:t xml:space="preserve"> </w:t>
      </w:r>
      <w:r>
        <w:t xml:space="preserve">targets the most common weakness in South African businesses preparing for certification. The guide covers ISO 19011 principles, audit programme planning, checklist development, and FSSC 22000 Version 6-specific requirements. LinkedIn amplification cites the statistic that weak internal auditing is the number one reason businesses fail certification audits — drawn from RFC’s 12+ years of field experience.</w:t>
      </w:r>
    </w:p>
    <w:p>
      <w:pPr>
        <w:pStyle w:val="BodyText"/>
      </w:pPr>
      <w:r>
        <w:rPr>
          <w:bCs/>
          <w:b/>
        </w:rPr>
        <w:t xml:space="preserve">Month 11: Food Traceability and Product Recall Management</w:t>
      </w:r>
      <w:r>
        <w:t xml:space="preserve"> </w:t>
      </w:r>
      <w:r>
        <w:t xml:space="preserve">capitalises on the 2024 recall wave that exposed dangerous under-preparation across the industry. The article explains traceability requirements under R638 and the Consumer Protection Act, mock recall procedures, crisis communication protocols, and NCC reporting requirements. A downloadable mock recall template serves as both lead magnet and practical implementation tool.</w:t>
      </w:r>
    </w:p>
    <w:p>
      <w:pPr>
        <w:pStyle w:val="BodyText"/>
      </w:pPr>
      <w:r>
        <w:rPr>
          <w:bCs/>
          <w:b/>
        </w:rPr>
        <w:t xml:space="preserve">Month 12: The 2026 South African Food Safety Outlook</w:t>
      </w:r>
      <w:r>
        <w:t xml:space="preserve"> </w:t>
      </w:r>
      <w:r>
        <w:t xml:space="preserve">synthesises regulatory, technological, and market trends into forward-looking analysis covering R3337 finalisation, potential R638 amendments, digital compliance tool growth, AI in food safety monitoring, and enforcement predictions. An embedded</w:t>
      </w:r>
      <w:r>
        <w:t xml:space="preserve"> </w:t>
      </w:r>
      <w:r>
        <w:t xml:space="preserve">“</w:t>
      </w:r>
      <w:r>
        <w:t xml:space="preserve">2026 Compliance Calendar</w:t>
      </w:r>
      <w:r>
        <w:t xml:space="preserve">”</w:t>
      </w:r>
      <w:r>
        <w:t xml:space="preserve"> </w:t>
      </w:r>
      <w:r>
        <w:t xml:space="preserve">with key dates earns bookmarks and backlinks from industry media, association newsletters, and municipal resource pages.</w:t>
      </w:r>
    </w:p>
    <w:p>
      <w:r>
        <w:pict>
          <v:rect style="width:0;height:1.5pt" o:hralign="center" o:hrstd="t" o:hr="t"/>
        </w:pict>
      </w:r>
    </w:p>
    <w:bookmarkEnd w:id="101"/>
    <w:bookmarkStart w:id="102" w:name="social-media-amplification-strategy"/>
    <w:p>
      <w:pPr>
        <w:pStyle w:val="Heading3"/>
      </w:pPr>
      <w:r>
        <w:t xml:space="preserve">5.2 Social Media Amplification Strategy</w:t>
      </w:r>
    </w:p>
    <w:p>
      <w:pPr>
        <w:pStyle w:val="FirstParagraph"/>
      </w:pPr>
      <w:r>
        <w:t xml:space="preserve">Each blog post requires systematic amplification across LinkedIn and Facebook to maximise reach, engagement, and backlink generation. The strategy is built on a weekly content calendar for each platform, with a repurposing framework that converts every blog into eight or more distinct social media assets.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Theme</w:t>
            </w:r>
          </w:p>
        </w:tc>
        <w:tc>
          <w:tcPr/>
          <w:p>
            <w:pPr>
              <w:pStyle w:val="Compact"/>
              <w:jc w:val="left"/>
            </w:pPr>
            <w:r>
              <w:t xml:space="preserve">Content Format</w:t>
            </w:r>
          </w:p>
        </w:tc>
        <w:tc>
          <w:tcPr/>
          <w:p>
            <w:pPr>
              <w:pStyle w:val="Compact"/>
              <w:jc w:val="left"/>
            </w:pPr>
            <w:r>
              <w:t xml:space="preserve">Example Post</w:t>
            </w:r>
          </w:p>
        </w:tc>
        <w:tc>
          <w:tcPr/>
          <w:p>
            <w:pPr>
              <w:pStyle w:val="Compact"/>
              <w:jc w:val="left"/>
            </w:pPr>
            <w:r>
              <w:t xml:space="preserve">Strategic Objective</w:t>
            </w:r>
          </w:p>
        </w:tc>
      </w:tr>
      <w:tr>
        <w:tc>
          <w:tcPr/>
          <w:p>
            <w:pPr>
              <w:pStyle w:val="Compact"/>
              <w:jc w:val="left"/>
            </w:pPr>
            <w:r>
              <w:t xml:space="preserve">Monday</w:t>
            </w:r>
          </w:p>
        </w:tc>
        <w:tc>
          <w:tcPr/>
          <w:p>
            <w:pPr>
              <w:pStyle w:val="Compact"/>
              <w:jc w:val="left"/>
            </w:pPr>
            <w:r>
              <w:t xml:space="preserve">Industry News &amp; Commentary</w:t>
            </w:r>
          </w:p>
        </w:tc>
        <w:tc>
          <w:tcPr/>
          <w:p>
            <w:pPr>
              <w:pStyle w:val="Compact"/>
              <w:jc w:val="left"/>
            </w:pPr>
            <w:r>
              <w:t xml:space="preserve">Shared article + 150-word commentary</w:t>
            </w:r>
          </w:p>
        </w:tc>
        <w:tc>
          <w:tcPr/>
          <w:p>
            <w:pPr>
              <w:pStyle w:val="Compact"/>
              <w:jc w:val="left"/>
            </w:pPr>
            <w:r>
              <w:t xml:space="preserve">Share NCC food recall announcement with RFC’s analysis of what went wrong and prevention guidance</w:t>
            </w:r>
          </w:p>
        </w:tc>
        <w:tc>
          <w:tcPr/>
          <w:p>
            <w:pPr>
              <w:pStyle w:val="Compact"/>
              <w:jc w:val="left"/>
            </w:pPr>
            <w:r>
              <w:t xml:space="preserve">Position RFC as first-to-comment authority; build follower expectation for Monday updates</w:t>
            </w:r>
          </w:p>
        </w:tc>
      </w:tr>
      <w:tr>
        <w:tc>
          <w:tcPr/>
          <w:p>
            <w:pPr>
              <w:pStyle w:val="Compact"/>
              <w:jc w:val="left"/>
            </w:pPr>
            <w:r>
              <w:t xml:space="preserve">Tuesday</w:t>
            </w:r>
          </w:p>
        </w:tc>
        <w:tc>
          <w:tcPr/>
          <w:p>
            <w:pPr>
              <w:pStyle w:val="Compact"/>
              <w:jc w:val="left"/>
            </w:pPr>
            <w:r>
              <w:t xml:space="preserve">Blog Content Promotion</w:t>
            </w:r>
          </w:p>
        </w:tc>
        <w:tc>
          <w:tcPr/>
          <w:p>
            <w:pPr>
              <w:pStyle w:val="Compact"/>
              <w:jc w:val="left"/>
            </w:pPr>
            <w:r>
              <w:t xml:space="preserve">Long-form post (200–300 words) with blog link</w:t>
            </w:r>
          </w:p>
        </w:tc>
        <w:tc>
          <w:tcPr/>
          <w:p>
            <w:pPr>
              <w:pStyle w:val="Compact"/>
              <w:jc w:val="left"/>
            </w:pPr>
            <w:r>
              <w:t xml:space="preserve">Custom hook summarising the month’s blog with 3–5 bullet takeaways and a direct question</w:t>
            </w:r>
          </w:p>
        </w:tc>
        <w:tc>
          <w:tcPr/>
          <w:p>
            <w:pPr>
              <w:pStyle w:val="Compact"/>
              <w:jc w:val="left"/>
            </w:pPr>
            <w:r>
              <w:t xml:space="preserve">Drive blog traffic from LinkedIn; target 3–5% engagement rate</w:t>
            </w:r>
          </w:p>
        </w:tc>
      </w:tr>
      <w:tr>
        <w:tc>
          <w:tcPr/>
          <w:p>
            <w:pPr>
              <w:pStyle w:val="Compact"/>
              <w:jc w:val="left"/>
            </w:pPr>
            <w:r>
              <w:t xml:space="preserve">Wednesday</w:t>
            </w:r>
          </w:p>
        </w:tc>
        <w:tc>
          <w:tcPr/>
          <w:p>
            <w:pPr>
              <w:pStyle w:val="Compact"/>
              <w:jc w:val="left"/>
            </w:pPr>
            <w:r>
              <w:t xml:space="preserve">Practical Tip / Quick Win</w:t>
            </w:r>
          </w:p>
        </w:tc>
        <w:tc>
          <w:tcPr/>
          <w:p>
            <w:pPr>
              <w:pStyle w:val="Compact"/>
              <w:jc w:val="left"/>
            </w:pPr>
            <w:r>
              <w:t xml:space="preserve">Standalone text post (150–200 words)</w:t>
            </w:r>
          </w:p>
        </w:tc>
        <w:tc>
          <w:tcPr/>
          <w:p>
            <w:pPr>
              <w:pStyle w:val="Compact"/>
              <w:jc w:val="left"/>
            </w:pPr>
            <w:r>
              <w:t xml:space="preserve">“</w:t>
            </w:r>
            <w:r>
              <w:t xml:space="preserve">3 temperature control mistakes that will fail your R638 inspection</w:t>
            </w:r>
            <w:r>
              <w:t xml:space="preserve">”</w:t>
            </w:r>
            <w:r>
              <w:t xml:space="preserve"> </w:t>
            </w:r>
            <w:r>
              <w:t xml:space="preserve">— actionable and immediately useful</w:t>
            </w:r>
          </w:p>
        </w:tc>
        <w:tc>
          <w:tcPr/>
          <w:p>
            <w:pPr>
              <w:pStyle w:val="Compact"/>
              <w:jc w:val="left"/>
            </w:pPr>
            <w:r>
              <w:t xml:space="preserve">Build habitual engagement through consistently valuable micro-content</w:t>
            </w:r>
          </w:p>
        </w:tc>
      </w:tr>
      <w:tr>
        <w:tc>
          <w:tcPr/>
          <w:p>
            <w:pPr>
              <w:pStyle w:val="Compact"/>
              <w:jc w:val="left"/>
            </w:pPr>
            <w:r>
              <w:t xml:space="preserve">Thursday</w:t>
            </w:r>
          </w:p>
        </w:tc>
        <w:tc>
          <w:tcPr/>
          <w:p>
            <w:pPr>
              <w:pStyle w:val="Compact"/>
              <w:jc w:val="left"/>
            </w:pPr>
            <w:r>
              <w:t xml:space="preserve">Thought Leadership</w:t>
            </w:r>
          </w:p>
        </w:tc>
        <w:tc>
          <w:tcPr/>
          <w:p>
            <w:pPr>
              <w:pStyle w:val="Compact"/>
              <w:jc w:val="left"/>
            </w:pPr>
            <w:r>
              <w:t xml:space="preserve">Long-form opinion piece (300–500 words)</w:t>
            </w:r>
          </w:p>
        </w:tc>
        <w:tc>
          <w:tcPr/>
          <w:p>
            <w:pPr>
              <w:pStyle w:val="Compact"/>
              <w:jc w:val="left"/>
            </w:pPr>
            <w:r>
              <w:t xml:space="preserve">“</w:t>
            </w:r>
            <w:r>
              <w:t xml:space="preserve">Why most food safety training in South Africa focuses on the wrong things</w:t>
            </w:r>
            <w:r>
              <w:t xml:space="preserve">”</w:t>
            </w:r>
            <w:r>
              <w:t xml:space="preserve"> </w:t>
            </w:r>
            <w:r>
              <w:t xml:space="preserve">— contrarian take backed by consulting experience</w:t>
            </w:r>
          </w:p>
        </w:tc>
        <w:tc>
          <w:tcPr/>
          <w:p>
            <w:pPr>
              <w:pStyle w:val="Compact"/>
              <w:jc w:val="left"/>
            </w:pPr>
            <w:r>
              <w:t xml:space="preserve">Establish RFC’s independent expert voice; generate debate and shares</w:t>
            </w:r>
          </w:p>
        </w:tc>
      </w:tr>
      <w:tr>
        <w:tc>
          <w:tcPr/>
          <w:p>
            <w:pPr>
              <w:pStyle w:val="Compact"/>
              <w:jc w:val="left"/>
            </w:pPr>
            <w:r>
              <w:t xml:space="preserve">Friday</w:t>
            </w:r>
          </w:p>
        </w:tc>
        <w:tc>
          <w:tcPr/>
          <w:p>
            <w:pPr>
              <w:pStyle w:val="Compact"/>
              <w:jc w:val="left"/>
            </w:pPr>
            <w:r>
              <w:t xml:space="preserve">Social Proof &amp; Community</w:t>
            </w:r>
          </w:p>
        </w:tc>
        <w:tc>
          <w:tcPr/>
          <w:p>
            <w:pPr>
              <w:pStyle w:val="Compact"/>
              <w:jc w:val="left"/>
            </w:pPr>
            <w:r>
              <w:t xml:space="preserve">Testimonial or case study snippet</w:t>
            </w:r>
          </w:p>
        </w:tc>
        <w:tc>
          <w:tcPr/>
          <w:p>
            <w:pPr>
              <w:pStyle w:val="Compact"/>
              <w:jc w:val="left"/>
            </w:pPr>
            <w:r>
              <w:t xml:space="preserve">“</w:t>
            </w:r>
            <w:r>
              <w:t xml:space="preserve">Congratulations to [Client] for achieving FSSC 22000 certification after 6 months of implementation support</w:t>
            </w:r>
            <w:r>
              <w:t xml:space="preserve">”</w:t>
            </w:r>
          </w:p>
        </w:tc>
        <w:tc>
          <w:tcPr/>
          <w:p>
            <w:pPr>
              <w:pStyle w:val="Compact"/>
              <w:jc w:val="left"/>
            </w:pPr>
            <w:r>
              <w:t xml:space="preserve">Humanise the brand; provide evidence of results for prospects</w:t>
            </w:r>
          </w:p>
        </w:tc>
      </w:tr>
    </w:tbl>
    <w:p>
      <w:pPr>
        <w:pStyle w:val="BodyText"/>
      </w:pPr>
      <w:r>
        <w:rPr>
          <w:bCs/>
          <w:b/>
        </w:rPr>
        <w:t xml:space="preserve">LinkedIn Content Calendar Structure.</w:t>
      </w:r>
      <w:r>
        <w:t xml:space="preserve"> </w:t>
      </w:r>
      <w:r>
        <w:t xml:space="preserve">LinkedIn serves as RFC’s primary B2B platform, targeting QA managers, food safety officers, auditors, and business owners who make training and consulting purchasing decisions. Posting 4–5 times per week with the daily thematic structure outlined above creates publishing discipline: content creators know exactly what asset to produce each day, and followers develop habitual engagement patterns. Content distribution by category should follow a 40/35/15/10 split — 40% thought leadership (regulatory analysis, trend predictions), 35% educational (R638 explanations, HACCP breakdowns), 15% engagement (polls, questions, controversial takes), and 10% promotional (course launches, consulting highlights). LinkedIn’s algorithm prioritises posts that generate comments; Tuesday blog promotions and Thursday opinion pieces should include explicit questions designed to trigger discussion. Primary hashtags on every post should include #FoodSafetySouthAfrica, #R638, and #FoodSafetyTraining, supplemented with rotating secondary tags and location-based tags (#Pretoria, #Gauteng) for local discovery.</w:t>
      </w:r>
    </w:p>
    <w:p>
      <w:pPr>
        <w:pStyle w:val="BodyText"/>
      </w:pPr>
      <w:r>
        <w:rPr>
          <w:bCs/>
          <w:b/>
        </w:rPr>
        <w:t xml:space="preserve">Facebook Content Strategy (3–4× per week).</w:t>
      </w:r>
      <w:r>
        <w:t xml:space="preserve"> </w:t>
      </w:r>
      <w:r>
        <w:t xml:space="preserve">Facebook reaches small food business owners, spaza shop operators, home bakers, and informal traders who maintain minimal LinkedIn presence. Five content pillars guide the calendar: Practical Food Safety Tips (30%), Community Support (25%), Regulatory News Made Simple (20%), Motivational and Awareness (15%), and Promotional (10%). Practical tips perform best as short video demonstrations (60–90 seconds) or infographic-style image posts. Monthly</w:t>
      </w:r>
      <w:r>
        <w:t xml:space="preserve"> </w:t>
      </w:r>
      <w:r>
        <w:t xml:space="preserve">“</w:t>
      </w:r>
      <w:r>
        <w:t xml:space="preserve">Ask the Consultant</w:t>
      </w:r>
      <w:r>
        <w:t xml:space="preserve">”</w:t>
      </w:r>
      <w:r>
        <w:t xml:space="preserve"> </w:t>
      </w:r>
      <w:r>
        <w:t xml:space="preserve">live Q&amp;A sessions build community trust while generating real-time engagement that Facebook’s algorithm rewards. Regulatory news content must always include a</w:t>
      </w:r>
      <w:r>
        <w:t xml:space="preserve"> </w:t>
      </w:r>
      <w:r>
        <w:t xml:space="preserve">“</w:t>
      </w:r>
      <w:r>
        <w:t xml:space="preserve">What this means for YOUR business</w:t>
      </w:r>
      <w:r>
        <w:t xml:space="preserve">”</w:t>
      </w:r>
      <w:r>
        <w:t xml:space="preserve"> </w:t>
      </w:r>
      <w:r>
        <w:t xml:space="preserve">translation that converts complex legal language into actionable guidance — a service no competitor currently provides at scale</w:t>
      </w:r>
      <w:r>
        <w:t xml:space="preserve"> </w:t>
      </w:r>
      <w:fldSimple w:instr="NOTEREF _Ref_Footnote_9 \h \f">
        <w:r>
          <w:rPr>
            <w:vertAlign w:val="superscript"/>
          </w:rPr>
          <w:t>9</w:t>
        </w:r>
      </w:fldSimple>
      <w:r>
        <w:t xml:space="preserve"> </w:t>
      </w:r>
      <w:fldSimple w:instr="NOTEREF _Ref_Footnote_36 \h \f">
        <w:r>
          <w:rPr>
            <w:vertAlign w:val="superscript"/>
          </w:rPr>
          <w:t>36</w:t>
        </w:r>
      </w:fldSimple>
      <w:r>
        <w:t xml:space="preserve">.</w:t>
      </w:r>
    </w:p>
    <w:p>
      <w:pPr>
        <w:pStyle w:val="BodyText"/>
      </w:pPr>
      <w:r>
        <w:rPr>
          <w:bCs/>
          <w:b/>
        </w:rPr>
        <w:t xml:space="preserve">Blog-to-Social Repurposing Framework.</w:t>
      </w:r>
      <w:r>
        <w:t xml:space="preserve"> </w:t>
      </w:r>
      <w:r>
        <w:t xml:space="preserve">Every 2,000-word article should be repurposed into at least eight distinct social media pieces: (1) a LinkedIn article share on publication day with custom hook and hashtags; (2) a LinkedIn carousel post three days later with 5–7 swipeable slides; (3) a LinkedIn poll one week later with an engagement question; (4) a Facebook long-form post on publication day with blog summary and link; (5) a Facebook graphic post three days later highlighting a key statistic as a shareable image; (6) a Facebook video one week later featuring a 60–90 second talking-head summary; (7) an Instagram Story or Reel three days after publication; and (8) an email newsletter feature in the monthly round-up. This framework means twelve monthly blogs generate ninety-six social media assets per year — maintaining consistent platform presence without requiring original creative production for every post.</w:t>
      </w:r>
    </w:p>
    <w:p>
      <w:r>
        <w:pict>
          <v:rect style="width:0;height:1.5pt" o:hralign="center" o:hrstd="t" o:hr="t"/>
        </w:pict>
      </w:r>
    </w:p>
    <w:bookmarkEnd w:id="102"/>
    <w:bookmarkStart w:id="103" w:name="linkable-assets-for-authority-building"/>
    <w:p>
      <w:pPr>
        <w:pStyle w:val="Heading3"/>
      </w:pPr>
      <w:r>
        <w:t xml:space="preserve">5.3 Linkable Assets for Authority Building</w:t>
      </w:r>
    </w:p>
    <w:p>
      <w:pPr>
        <w:pStyle w:val="FirstParagraph"/>
      </w:pPr>
      <w:r>
        <w:t xml:space="preserve">Blog content drives organic traffic, but linkable assets — high-value content pieces that other websites voluntarily link to — accelerate domain authority growth. Entecom has built a substantial backlink profile through 61+ downloadable eBooks</w:t>
      </w:r>
      <w:r>
        <w:t xml:space="preserve"> </w:t>
      </w:r>
      <w:fldSimple w:instr="NOTEREF _Ref_Footnote_37 \h \f">
        <w:r>
          <w:rPr>
            <w:vertAlign w:val="superscript"/>
          </w:rPr>
          <w:t>37</w:t>
        </w:r>
      </w:fldSimple>
      <w:r>
        <w:t xml:space="preserve">. RFC should pursue five distinct asset types.</w:t>
      </w:r>
    </w:p>
    <w:p>
      <w:pPr>
        <w:pStyle w:val="BodyText"/>
      </w:pPr>
      <w:r>
        <w:rPr>
          <w:bCs/>
          <w:b/>
        </w:rPr>
        <w:t xml:space="preserve">The Ultimate South African Food Safety Compliance Guide (White Paper)</w:t>
      </w:r>
      <w:r>
        <w:t xml:space="preserve"> </w:t>
      </w:r>
      <w:r>
        <w:t xml:space="preserve">is a 40–50 page annually updated white paper covering every regulation South African food businesses must comply with — R638, R146, R3337, the Meat Safety Act, and FSSC 22000 Version 6. Including contribution quotes from FoodBev SETA, SAAFoST, and SAAFFI enhances credibility and encourages those organisations to share the resource. Distribution targets agricultural extension officers, university food science departments, and industry publications. Target: 15–25 quality backlinks within six months.</w:t>
      </w:r>
    </w:p>
    <w:p>
      <w:pPr>
        <w:pStyle w:val="BodyText"/>
      </w:pPr>
      <w:r>
        <w:rPr>
          <w:bCs/>
          <w:b/>
        </w:rPr>
        <w:t xml:space="preserve">The South African Food Safety Regulatory Map (Interactive Infographic)</w:t>
      </w:r>
      <w:r>
        <w:t xml:space="preserve"> </w:t>
      </w:r>
      <w:r>
        <w:t xml:space="preserve">functions as a visual decision-tree where users select their business type and receive a colour-coded map of applicable regulations with links to relevant RFC blog articles. This asset attracts backlinks from business journalism sites (Bizcommunity, Business Day), municipal Environmental Health Departments, entrepreneur support organisations (SEDA, NYDA), and food industry blogs that value embeddable visual content.</w:t>
      </w:r>
    </w:p>
    <w:p>
      <w:pPr>
        <w:pStyle w:val="BodyText"/>
      </w:pPr>
      <w:r>
        <w:rPr>
          <w:bCs/>
          <w:b/>
        </w:rPr>
        <w:t xml:space="preserve">R638 Compliance Toolkit (40+ Templates)</w:t>
      </w:r>
      <w:r>
        <w:t xml:space="preserve"> </w:t>
      </w:r>
      <w:r>
        <w:t xml:space="preserve">is a downloadable ZIP file of editable Word and Excel templates aligned to Regulation R638: cleaning schedules, temperature logs, pest control records, training matrices, supplier approval forms, audit checklists, and COA preparation checklists. This toolkit targets SME and hospitality resource directories, with distribution through SEDA, Small Business SA forums, and hospitality industry associations generating an estimated 20–30 backlinks. Each template includes RFC branding and a footer CTA directing users to rfcacademy.co.za.</w:t>
      </w:r>
    </w:p>
    <w:p>
      <w:pPr>
        <w:pStyle w:val="BodyText"/>
      </w:pPr>
      <w:r>
        <w:rPr>
          <w:bCs/>
          <w:b/>
        </w:rPr>
        <w:t xml:space="preserve">The State of Food Safety Compliance in South Africa (Data Report)</w:t>
      </w:r>
      <w:r>
        <w:t xml:space="preserve"> </w:t>
      </w:r>
      <w:r>
        <w:t xml:space="preserve">is an original research report based on a survey of South African food businesses, covering compliance rates, common non-conformities, training gaps, and provincial enforcement data. Original research becomes a cited reference for journalists, academics, and policymakers — audiences who link to source material as a professional practice. Distribution through press releases, Department of Health submissions, and exclusive journalist quotes targets 10–20 high-authority backlinks from media, .gov.za, and .ac.za domains.</w:t>
      </w:r>
    </w:p>
    <w:p>
      <w:pPr>
        <w:pStyle w:val="BodyText"/>
      </w:pPr>
      <w:r>
        <w:rPr>
          <w:bCs/>
          <w:b/>
        </w:rPr>
        <w:t xml:space="preserve">Free Online Compliance Self-Assessment Tool</w:t>
      </w:r>
      <w:r>
        <w:t xml:space="preserve"> </w:t>
      </w:r>
      <w:r>
        <w:t xml:space="preserve">is an interactive web-based quiz (10–15 questions, five minutes) delivering a personalised compliance gap report with prioritised recommendations. The tool captures email addresses while generating shareable results. Distribution through business tool directories and entrepreneurship forums targets 15–25 backlinks. This addresses a genuine market gap: no competitor currently offers an interactive R638 compliance assessment</w:t>
      </w:r>
      <w:r>
        <w:t xml:space="preserve"> </w:t>
      </w:r>
      <w:fldSimple w:instr="NOTEREF _Ref_Footnote_3 \h \f">
        <w:r>
          <w:rPr>
            <w:vertAlign w:val="superscript"/>
          </w:rPr>
          <w:t>3</w:t>
        </w:r>
      </w:fldSimple>
      <w:r>
        <w:t xml:space="preserve">.</w:t>
      </w:r>
    </w:p>
    <w:p>
      <w:pPr>
        <w:pStyle w:val="BodyText"/>
      </w:pPr>
      <w:r>
        <w:rPr>
          <w:bCs/>
          <w:b/>
        </w:rPr>
        <w:t xml:space="preserve">Guest Posting Strategy.</w:t>
      </w:r>
      <w:r>
        <w:t xml:space="preserve"> </w:t>
      </w:r>
      <w:r>
        <w:t xml:space="preserve">Guest posting on established South African publications provides authoritative backlinks while exposing RFC’s expertise to new audiences. Priority targets include Bizcommunity (DA 80+, B2B decision-makers), The Citizen Business (DA 70+, general business audience), Business Report on IOL (DA 75+, spaza shop regulatory topics), SME South Africa (DA 50+, small business startups), Food &amp; Beverage Reporter (DA 45+, food industry professionals), FMCG News SA (DA 40+, retail and manufacturing), Food For Mzansi (DA 45+, agricultural sector), Skills Portal (DA 45+, HR and training professionals), Regent Business School blog (DA 50+, entrepreneurs), and NCA Online (DA 35+, compliance officers). Each guest post should include a contextual author bio with a follow link to rfcsa.co.za and, where editorial policy permits, a lead magnet offer driving referral traffic into RFC’s email nurture sequences. Initial outreach should target three publications in Month 3, scaling to one guest post per month by Month 6 as editorial relationships develop.</w:t>
      </w:r>
    </w:p>
    <w:p>
      <w:r>
        <w:pict>
          <v:rect style="width:0;height:1.5pt" o:hralign="center" o:hrstd="t" o:hr="t"/>
        </w:pict>
      </w:r>
    </w:p>
    <w:p>
      <w:pPr>
        <w:pStyle w:val="FirstParagraph"/>
      </w:pPr>
      <w:r>
        <w:t xml:space="preserve">The content strategy presented in this chapter transforms RFC’s current absence from the content landscape into a systematic competitive advantage. By Month 6, consistent publishing should yield 15–20 page-one keyword rankings for long-tail terms; by Month 12, the combined authority of blog content, linkable assets, guest posts, and social amplification should position RFC to challenge ASC Food Safety and Entecom for primary commercial keywords in the South African food safety training and consulting market.</w:t>
      </w:r>
      <w:r>
        <w:t xml:space="preserve"> </w:t>
      </w:r>
      <w:r>
        <w:t xml:space="preserve">-e</w:t>
      </w:r>
    </w:p>
    <w:bookmarkEnd w:id="103"/>
    <w:bookmarkEnd w:id="104"/>
    <w:bookmarkStart w:id="120" w:name="lead-generation-strategy"/>
    <w:p>
      <w:pPr>
        <w:pStyle w:val="Heading2"/>
      </w:pPr>
      <w:r>
        <w:t xml:space="preserve">6. Lead Generation Strategy</w:t>
      </w:r>
    </w:p>
    <w:p>
      <w:pPr>
        <w:pStyle w:val="FirstParagraph"/>
      </w:pPr>
      <w:r>
        <w:t xml:space="preserve">Lead generation sits at the intersection of every other marketing activity described in this report. RFC’s blog content attracts visitors, but without a systematic mechanism to capture contact details and nurture those contacts toward paid services, that traffic dissipates as quickly as it arrives. The competitor analysis reveals a striking gap: while ASC Food Safety Consultants and Entecom both maintain strong content engines, the entire South African food safety consulting market shows surprisingly weak lead capture sophistication — few exit-intent offers, limited email nurture sequences, and minimal landing page optimisation</w:t>
      </w:r>
      <w:r>
        <w:t xml:space="preserve"> </w:t>
      </w:r>
      <w:fldSimple w:instr="NOTEREF _Ref_Footnote_9 \h \f">
        <w:r>
          <w:rPr>
            <w:vertAlign w:val="superscript"/>
          </w:rPr>
          <w:t>9</w:t>
        </w:r>
      </w:fldSimple>
      <w:r>
        <w:t xml:space="preserve"> </w:t>
      </w:r>
      <w:fldSimple w:instr="NOTEREF _Ref_Footnote_36 \h \f">
        <w:r>
          <w:rPr>
            <w:vertAlign w:val="superscript"/>
          </w:rPr>
          <w:t>36</w:t>
        </w:r>
      </w:fldSimple>
      <w:r>
        <w:t xml:space="preserve">. This represents a first-mover advantage for RFC. The strategy presented here establishes a complete lead generation architecture comprising seven purpose-built lead magnets, two targeted email funnels, thirteen dedicated landing pages, WhatsApp Business integration, and a comprehensive call-to-action placement system.</w:t>
      </w:r>
    </w:p>
    <w:bookmarkStart w:id="110" w:name="lead-magnet-recommendations"/>
    <w:p>
      <w:pPr>
        <w:pStyle w:val="Heading3"/>
      </w:pPr>
      <w:r>
        <w:t xml:space="preserve">6.1 Lead Magnet Recommendations</w:t>
      </w:r>
    </w:p>
    <w:p>
      <w:pPr>
        <w:pStyle w:val="FirstParagraph"/>
      </w:pPr>
      <w:r>
        <w:t xml:space="preserve">Lead magnets are high-value downloadable resources offered in exchange for contact information. They build RFC’s email list for ongoing nurture campaigns while positioning the firm as a generous authority before any paid transaction occurs. The competitor analysis found that Entecom offers 61+ downloadable eBooks through its Guidance Hub</w:t>
      </w:r>
      <w:r>
        <w:t xml:space="preserve"> </w:t>
      </w:r>
      <w:fldSimple w:instr="NOTEREF _Ref_Footnote_36 \h \f">
        <w:r>
          <w:rPr>
            <w:vertAlign w:val="superscript"/>
          </w:rPr>
          <w:t>36</w:t>
        </w:r>
      </w:fldSimple>
      <w:r>
        <w:t xml:space="preserve">, Food Safety Matters provides free Regulation 638 PDF downloads</w:t>
      </w:r>
      <w:r>
        <w:t xml:space="preserve"> </w:t>
      </w:r>
      <w:fldSimple w:instr="NOTEREF _Ref_Footnote_38 \h \f">
        <w:r>
          <w:rPr>
            <w:vertAlign w:val="superscript"/>
          </w:rPr>
          <w:t>38</w:t>
        </w:r>
      </w:fldSimple>
      <w:r>
        <w:t xml:space="preserve">, and Hygiene Heroes distributes a free comprehensive R638 guide</w:t>
      </w:r>
      <w:r>
        <w:t xml:space="preserve"> </w:t>
      </w:r>
      <w:fldSimple w:instr="NOTEREF _Ref_Footnote_39 \h \f">
        <w:r>
          <w:rPr>
            <w:vertAlign w:val="superscript"/>
          </w:rPr>
          <w:t>39</w:t>
        </w:r>
      </w:fldSimple>
      <w:r>
        <w:t xml:space="preserve">. RFC must match this generosity while differentiating through superior practicality — templates that can be used immediately rather than resources that are merely read passively.</w:t>
      </w:r>
    </w:p>
    <w:bookmarkStart w:id="105" w:name="seven-recommended-lead-magnets"/>
    <w:p>
      <w:pPr>
        <w:pStyle w:val="Heading4"/>
      </w:pPr>
      <w:r>
        <w:t xml:space="preserve">6.1.1 Seven Recommended Lead Magnets</w:t>
      </w:r>
    </w:p>
    <w:p>
      <w:pPr>
        <w:pStyle w:val="FirstParagraph"/>
      </w:pPr>
      <w:r>
        <w:t xml:space="preserve">The following table presents seven lead magnets sequenced by priority, each designed to capture a distinct audience segment and funnel prospects toward a specific paid service. Estimated conversion rates derive from B2B professional services benchmarks, adjusted for the South African market where data privacy consciousness and email list fatigue are growing concerns.</w:t>
      </w:r>
    </w:p>
    <w:tbl>
      <w:tblPr>
        <w:tblStyle w:val="Table"/>
        <w:tblW w:type="pct" w:w="5000"/>
        <w:tblLook w:firstRow="1" w:lastRow="0" w:firstColumn="0" w:lastColumn="0" w:noHBand="0" w:noVBand="0" w:val="0020"/>
      </w:tblPr>
      <w:tblGrid>
        <w:gridCol w:w="1337"/>
        <w:gridCol w:w="822"/>
        <w:gridCol w:w="1645"/>
        <w:gridCol w:w="1645"/>
        <w:gridCol w:w="2468"/>
      </w:tblGrid>
      <w:tr>
        <w:trPr>
          <w:tblHeader w:val="true"/>
        </w:trPr>
        <w:tc>
          <w:tcPr/>
          <w:p>
            <w:pPr>
              <w:pStyle w:val="Compact"/>
              <w:jc w:val="left"/>
            </w:pPr>
            <w:r>
              <w:t xml:space="preserve">Lead Magnet</w:t>
            </w:r>
          </w:p>
        </w:tc>
        <w:tc>
          <w:tcPr/>
          <w:p>
            <w:pPr>
              <w:pStyle w:val="Compact"/>
              <w:jc w:val="left"/>
            </w:pPr>
            <w:r>
              <w:t xml:space="preserve">Format</w:t>
            </w:r>
          </w:p>
        </w:tc>
        <w:tc>
          <w:tcPr/>
          <w:p>
            <w:pPr>
              <w:pStyle w:val="Compact"/>
              <w:jc w:val="left"/>
            </w:pPr>
            <w:r>
              <w:t xml:space="preserve">Target Audience</w:t>
            </w:r>
          </w:p>
        </w:tc>
        <w:tc>
          <w:tcPr/>
          <w:p>
            <w:pPr>
              <w:pStyle w:val="Compact"/>
              <w:jc w:val="left"/>
            </w:pPr>
            <w:r>
              <w:t xml:space="preserve">Est. Conversion</w:t>
            </w:r>
          </w:p>
        </w:tc>
        <w:tc>
          <w:tcPr/>
          <w:p>
            <w:pPr>
              <w:pStyle w:val="Compact"/>
              <w:jc w:val="left"/>
            </w:pPr>
            <w:r>
              <w:t xml:space="preserve">Paid Service Connection</w:t>
            </w:r>
          </w:p>
        </w:tc>
      </w:tr>
      <w:tr>
        <w:tc>
          <w:tcPr/>
          <w:p>
            <w:pPr>
              <w:pStyle w:val="Compact"/>
              <w:jc w:val="left"/>
            </w:pPr>
            <w:r>
              <w:t xml:space="preserve">R638 Compliance Checklist</w:t>
            </w:r>
          </w:p>
        </w:tc>
        <w:tc>
          <w:tcPr/>
          <w:p>
            <w:pPr>
              <w:pStyle w:val="Compact"/>
              <w:jc w:val="left"/>
            </w:pPr>
            <w:r>
              <w:t xml:space="preserve">4-page room-by-room PDF</w:t>
            </w:r>
          </w:p>
        </w:tc>
        <w:tc>
          <w:tcPr/>
          <w:p>
            <w:pPr>
              <w:pStyle w:val="Compact"/>
              <w:jc w:val="left"/>
            </w:pPr>
            <w:r>
              <w:t xml:space="preserve">All food premises operators</w:t>
            </w:r>
          </w:p>
        </w:tc>
        <w:tc>
          <w:tcPr/>
          <w:p>
            <w:pPr>
              <w:pStyle w:val="Compact"/>
              <w:jc w:val="left"/>
            </w:pPr>
            <w:r>
              <w:t xml:space="preserve">15–25%</w:t>
            </w:r>
          </w:p>
        </w:tc>
        <w:tc>
          <w:tcPr/>
          <w:p>
            <w:pPr>
              <w:pStyle w:val="Compact"/>
              <w:jc w:val="left"/>
            </w:pPr>
            <w:r>
              <w:t xml:space="preserve">R638 training course; gap audit</w:t>
            </w:r>
          </w:p>
        </w:tc>
      </w:tr>
      <w:tr>
        <w:tc>
          <w:tcPr/>
          <w:p>
            <w:pPr>
              <w:pStyle w:val="Compact"/>
              <w:jc w:val="left"/>
            </w:pPr>
            <w:r>
              <w:t xml:space="preserve">COA Application Document Bundle</w:t>
            </w:r>
          </w:p>
        </w:tc>
        <w:tc>
          <w:tcPr/>
          <w:p>
            <w:pPr>
              <w:pStyle w:val="Compact"/>
              <w:jc w:val="left"/>
            </w:pPr>
            <w:r>
              <w:t xml:space="preserve">10 editable Word/Excel templates</w:t>
            </w:r>
          </w:p>
        </w:tc>
        <w:tc>
          <w:tcPr/>
          <w:p>
            <w:pPr>
              <w:pStyle w:val="Compact"/>
              <w:jc w:val="left"/>
            </w:pPr>
            <w:r>
              <w:t xml:space="preserve">New food business applicants</w:t>
            </w:r>
          </w:p>
        </w:tc>
        <w:tc>
          <w:tcPr/>
          <w:p>
            <w:pPr>
              <w:pStyle w:val="Compact"/>
              <w:jc w:val="left"/>
            </w:pPr>
            <w:r>
              <w:t xml:space="preserve">20–30%</w:t>
            </w:r>
          </w:p>
        </w:tc>
        <w:tc>
          <w:tcPr/>
          <w:p>
            <w:pPr>
              <w:pStyle w:val="Compact"/>
              <w:jc w:val="left"/>
            </w:pPr>
            <w:r>
              <w:t xml:space="preserve">Consulting services; PIC training</w:t>
            </w:r>
          </w:p>
        </w:tc>
      </w:tr>
      <w:tr>
        <w:tc>
          <w:tcPr/>
          <w:p>
            <w:pPr>
              <w:pStyle w:val="Compact"/>
              <w:jc w:val="left"/>
            </w:pPr>
            <w:r>
              <w:t xml:space="preserve">Food Safety Certification Roadmap</w:t>
            </w:r>
          </w:p>
        </w:tc>
        <w:tc>
          <w:tcPr/>
          <w:p>
            <w:pPr>
              <w:pStyle w:val="Compact"/>
              <w:jc w:val="left"/>
            </w:pPr>
            <w:r>
              <w:t xml:space="preserve">Interactive PDF flowchart + 8-page guide</w:t>
            </w:r>
          </w:p>
        </w:tc>
        <w:tc>
          <w:tcPr/>
          <w:p>
            <w:pPr>
              <w:pStyle w:val="Compact"/>
              <w:jc w:val="left"/>
            </w:pPr>
            <w:r>
              <w:t xml:space="preserve">Growth-stage manufacturers</w:t>
            </w:r>
          </w:p>
        </w:tc>
        <w:tc>
          <w:tcPr/>
          <w:p>
            <w:pPr>
              <w:pStyle w:val="Compact"/>
              <w:jc w:val="left"/>
            </w:pPr>
            <w:r>
              <w:t xml:space="preserve">12–18%</w:t>
            </w:r>
          </w:p>
        </w:tc>
        <w:tc>
          <w:tcPr/>
          <w:p>
            <w:pPr>
              <w:pStyle w:val="Compact"/>
              <w:jc w:val="left"/>
            </w:pPr>
            <w:r>
              <w:t xml:space="preserve">HACCP/ISO 22000 consulting; courses</w:t>
            </w:r>
          </w:p>
        </w:tc>
      </w:tr>
      <w:tr>
        <w:tc>
          <w:tcPr/>
          <w:p>
            <w:pPr>
              <w:pStyle w:val="Compact"/>
              <w:jc w:val="left"/>
            </w:pPr>
            <w:r>
              <w:t xml:space="preserve">Home-Based Food Business Starter Kit</w:t>
            </w:r>
          </w:p>
        </w:tc>
        <w:tc>
          <w:tcPr/>
          <w:p>
            <w:pPr>
              <w:pStyle w:val="Compact"/>
              <w:jc w:val="left"/>
            </w:pPr>
            <w:r>
              <w:t xml:space="preserve">15-page PDF + 5 templates</w:t>
            </w:r>
          </w:p>
        </w:tc>
        <w:tc>
          <w:tcPr/>
          <w:p>
            <w:pPr>
              <w:pStyle w:val="Compact"/>
              <w:jc w:val="left"/>
            </w:pPr>
            <w:r>
              <w:t xml:space="preserve">Home bakers, caterers, sauce makers</w:t>
            </w:r>
          </w:p>
        </w:tc>
        <w:tc>
          <w:tcPr/>
          <w:p>
            <w:pPr>
              <w:pStyle w:val="Compact"/>
              <w:jc w:val="left"/>
            </w:pPr>
            <w:r>
              <w:t xml:space="preserve">18–25%</w:t>
            </w:r>
          </w:p>
        </w:tc>
        <w:tc>
          <w:tcPr/>
          <w:p>
            <w:pPr>
              <w:pStyle w:val="Compact"/>
              <w:jc w:val="left"/>
            </w:pPr>
            <w:r>
              <w:t xml:space="preserve">Online GMP course; consulting upsell</w:t>
            </w:r>
          </w:p>
        </w:tc>
      </w:tr>
      <w:tr>
        <w:tc>
          <w:tcPr/>
          <w:p>
            <w:pPr>
              <w:pStyle w:val="Compact"/>
              <w:jc w:val="left"/>
            </w:pPr>
            <w:r>
              <w:t xml:space="preserve">Mock Recall Procedure Template</w:t>
            </w:r>
          </w:p>
        </w:tc>
        <w:tc>
          <w:tcPr/>
          <w:p>
            <w:pPr>
              <w:pStyle w:val="Compact"/>
              <w:jc w:val="left"/>
            </w:pPr>
            <w:r>
              <w:t xml:space="preserve">6-page procedure + exercise scenario</w:t>
            </w:r>
          </w:p>
        </w:tc>
        <w:tc>
          <w:tcPr/>
          <w:p>
            <w:pPr>
              <w:pStyle w:val="Compact"/>
              <w:jc w:val="left"/>
            </w:pPr>
            <w:r>
              <w:t xml:space="preserve">ISO 22000/FSSC 22000 certified sites</w:t>
            </w:r>
          </w:p>
        </w:tc>
        <w:tc>
          <w:tcPr/>
          <w:p>
            <w:pPr>
              <w:pStyle w:val="Compact"/>
              <w:jc w:val="left"/>
            </w:pPr>
            <w:r>
              <w:t xml:space="preserve">10–15%</w:t>
            </w:r>
          </w:p>
        </w:tc>
        <w:tc>
          <w:tcPr/>
          <w:p>
            <w:pPr>
              <w:pStyle w:val="Compact"/>
              <w:jc w:val="left"/>
            </w:pPr>
            <w:r>
              <w:t xml:space="preserve">Traceability consulting; audit services</w:t>
            </w:r>
          </w:p>
        </w:tc>
      </w:tr>
      <w:tr>
        <w:tc>
          <w:tcPr/>
          <w:p>
            <w:pPr>
              <w:pStyle w:val="Compact"/>
              <w:jc w:val="left"/>
            </w:pPr>
            <w:r>
              <w:t xml:space="preserve">Spaza Shop Compliance Quick Guide</w:t>
            </w:r>
          </w:p>
        </w:tc>
        <w:tc>
          <w:tcPr/>
          <w:p>
            <w:pPr>
              <w:pStyle w:val="Compact"/>
              <w:jc w:val="left"/>
            </w:pPr>
            <w:r>
              <w:t xml:space="preserve">2-page infographic-style PDF</w:t>
            </w:r>
          </w:p>
        </w:tc>
        <w:tc>
          <w:tcPr/>
          <w:p>
            <w:pPr>
              <w:pStyle w:val="Compact"/>
              <w:jc w:val="left"/>
            </w:pPr>
            <w:r>
              <w:t xml:space="preserve">Informal traders, tuck shop owners</w:t>
            </w:r>
          </w:p>
        </w:tc>
        <w:tc>
          <w:tcPr/>
          <w:p>
            <w:pPr>
              <w:pStyle w:val="Compact"/>
              <w:jc w:val="left"/>
            </w:pPr>
            <w:r>
              <w:t xml:space="preserve">15–20%</w:t>
            </w:r>
          </w:p>
        </w:tc>
        <w:tc>
          <w:tcPr/>
          <w:p>
            <w:pPr>
              <w:pStyle w:val="Compact"/>
              <w:jc w:val="left"/>
            </w:pPr>
            <w:r>
              <w:t xml:space="preserve">Affordable spaza training; registration help</w:t>
            </w:r>
          </w:p>
        </w:tc>
      </w:tr>
      <w:tr>
        <w:tc>
          <w:tcPr/>
          <w:p>
            <w:pPr>
              <w:pStyle w:val="Compact"/>
              <w:jc w:val="left"/>
            </w:pPr>
            <w:r>
              <w:t xml:space="preserve">2026 Food Safety Compliance Calendar</w:t>
            </w:r>
          </w:p>
        </w:tc>
        <w:tc>
          <w:tcPr/>
          <w:p>
            <w:pPr>
              <w:pStyle w:val="Compact"/>
              <w:jc w:val="left"/>
            </w:pPr>
            <w:r>
              <w:t xml:space="preserve">Wall-calendar PDF + digital file</w:t>
            </w:r>
          </w:p>
        </w:tc>
        <w:tc>
          <w:tcPr/>
          <w:p>
            <w:pPr>
              <w:pStyle w:val="Compact"/>
              <w:jc w:val="left"/>
            </w:pPr>
            <w:r>
              <w:t xml:space="preserve">Compliance officers, QA managers</w:t>
            </w:r>
          </w:p>
        </w:tc>
        <w:tc>
          <w:tcPr/>
          <w:p>
            <w:pPr>
              <w:pStyle w:val="Compact"/>
              <w:jc w:val="left"/>
            </w:pPr>
            <w:r>
              <w:t xml:space="preserve">8–12%</w:t>
            </w:r>
          </w:p>
        </w:tc>
        <w:tc>
          <w:tcPr/>
          <w:p>
            <w:pPr>
              <w:pStyle w:val="Compact"/>
              <w:jc w:val="left"/>
            </w:pPr>
            <w:r>
              <w:t xml:space="preserve">Year-round brand visibility; course reminders</w:t>
            </w:r>
          </w:p>
        </w:tc>
      </w:tr>
    </w:tbl>
    <w:p>
      <w:pPr>
        <w:pStyle w:val="BodyText"/>
      </w:pPr>
      <w:r>
        <w:t xml:space="preserve">The conversion rate differentials reflect both audience intent and perceived value at the point of download. The COA Application Document Bundle commands the highest estimated conversion rate (20–30%) because it addresses an urgent, time-sensitive pain point: a business owner facing their first municipal inspection will readily exchange an email address for templates that could determine whether they pass or fail. By contrast, the Compliance Calendar targets compliance officers who already receive multiple similar resources, hence the more conservative 8–12% estimate</w:t>
      </w:r>
      <w:r>
        <w:t xml:space="preserve"> </w:t>
      </w:r>
      <w:fldSimple w:instr="NOTEREF _Ref_Footnote_36 \h \f">
        <w:r>
          <w:rPr>
            <w:vertAlign w:val="superscript"/>
          </w:rPr>
          <w:t>36</w:t>
        </w:r>
      </w:fldSimple>
      <w:r>
        <w:t xml:space="preserve"> </w:t>
      </w:r>
      <w:fldSimple w:instr="NOTEREF _Ref_Footnote_38 \h \f">
        <w:r>
          <w:rPr>
            <w:vertAlign w:val="superscript"/>
          </w:rPr>
          <w:t>38</w:t>
        </w:r>
      </w:fldSimple>
      <w:r>
        <w:t xml:space="preserve">. Each lead magnet is deliberately connected to a specific paid service, eliminating the gap between lead capture and revenue generation that plagues many B2B content marketing programmes.</w:t>
      </w:r>
    </w:p>
    <w:bookmarkEnd w:id="105"/>
    <w:bookmarkStart w:id="106" w:name="r638-compliance-checklist-pdf"/>
    <w:p>
      <w:pPr>
        <w:pStyle w:val="Heading4"/>
      </w:pPr>
      <w:r>
        <w:t xml:space="preserve">6.1.2 R638 Compliance Checklist (PDF)</w:t>
      </w:r>
    </w:p>
    <w:p>
      <w:pPr>
        <w:pStyle w:val="FirstParagraph"/>
      </w:pPr>
      <w:r>
        <w:t xml:space="preserve">This 4-page room-by-room pre-inspection tool represents RFC’s highest-priority lead magnet. It covers every structural and operational requirement under Regulation R638 of 2018: premises structure and maintenance, personal hygiene facilities, protective clothing, food storage and temperature control, pest control, waste management, cleaning schedules, transport conditions, training records, and the specific legal duties of the Person in Charge named on the Certificate of Acceptability</w:t>
      </w:r>
      <w:r>
        <w:t xml:space="preserve"> </w:t>
      </w:r>
      <w:fldSimple w:instr="NOTEREF _Ref_Footnote_39 \h \f">
        <w:r>
          <w:rPr>
            <w:vertAlign w:val="superscript"/>
          </w:rPr>
          <w:t>39</w:t>
        </w:r>
      </w:fldSimple>
      <w:r>
        <w:t xml:space="preserve">. The checklist is designed for immediate practical use — a restaurant manager or spaza shop owner can print it and conduct a walk-through inspection the same day.</w:t>
      </w:r>
    </w:p>
    <w:p>
      <w:pPr>
        <w:pStyle w:val="BodyText"/>
      </w:pPr>
      <w:r>
        <w:t xml:space="preserve">The landing page copy should lead with outcome-driven language:</w:t>
      </w:r>
      <w:r>
        <w:t xml:space="preserve"> </w:t>
      </w:r>
      <w:r>
        <w:t xml:space="preserve">“</w:t>
      </w:r>
      <w:r>
        <w:t xml:space="preserve">Is Your Food Premises Inspection-Ready? Download the Free R638 Compliance Checklist.</w:t>
      </w:r>
      <w:r>
        <w:t xml:space="preserve">”</w:t>
      </w:r>
      <w:r>
        <w:t xml:space="preserve"> </w:t>
      </w:r>
      <w:r>
        <w:t xml:space="preserve">The form captures first name, email address, business type, and province — four fields that provide segmentation data for subsequent email personalisation without creating sufficient friction to suppress conversion. A 5-email nurture sequence follows download, delivering additional tips before soft-pitching the R638 training course at R1,600.</w:t>
      </w:r>
    </w:p>
    <w:bookmarkEnd w:id="106"/>
    <w:bookmarkStart w:id="107" w:name="coa-application-document-bundle"/>
    <w:p>
      <w:pPr>
        <w:pStyle w:val="Heading4"/>
      </w:pPr>
      <w:r>
        <w:t xml:space="preserve">6.1.3 COA Application Document Bundle</w:t>
      </w:r>
    </w:p>
    <w:p>
      <w:pPr>
        <w:pStyle w:val="FirstParagraph"/>
      </w:pPr>
      <w:r>
        <w:t xml:space="preserve">This ZIP file contains ten editable templates addressing the single most confusing process every South African food business must navigate: obtaining a Certificate of Acceptability. The bundle includes a COA application preparation checklist, staff training record template, cleaning schedule, temperature log, pest control record, supplier list template, floor plan guidance document, non-conformity corrective action form, internal audit checklist, and food handler health screening form</w:t>
      </w:r>
      <w:r>
        <w:t xml:space="preserve"> </w:t>
      </w:r>
      <w:fldSimple w:instr="NOTEREF _Ref_Footnote_62 \h \f">
        <w:r>
          <w:rPr>
            <w:vertAlign w:val="superscript"/>
          </w:rPr>
          <w:t>62</w:t>
        </w:r>
      </w:fldSimple>
      <w:r>
        <w:t xml:space="preserve"> </w:t>
      </w:r>
      <w:r>
        <w:rPr>
          <w:vertAlign w:val="superscript"/>
        </w:rPr>
        <w:footnoteReference w:id="71"/>
      </w:r>
      <w:r>
        <w:t xml:space="preserve">. All templates are professionally formatted in Word and Excel — a critical distinction from static PDFs that competitors offer.</w:t>
      </w:r>
    </w:p>
    <w:p>
      <w:pPr>
        <w:pStyle w:val="BodyText"/>
      </w:pPr>
      <w:r>
        <w:t xml:space="preserve">The estimated 20–30% conversion rate reflects the urgency of the COA application process. Municipalities across South Africa, from Cape Town (where applications are free) to Tshwane (where fees reach R2,152), actively enforce R638 through door-to-door inspections</w:t>
      </w:r>
      <w:r>
        <w:t xml:space="preserve"> </w:t>
      </w:r>
      <w:fldSimple w:instr="NOTEREF _Ref_Footnote_66 \h \f">
        <w:r>
          <w:rPr>
            <w:vertAlign w:val="superscript"/>
          </w:rPr>
          <w:t>66</w:t>
        </w:r>
      </w:fldSimple>
      <w:r>
        <w:t xml:space="preserve">. The bundle naturally upsells to RFC’s on-site gap audits (starting from R2,500) and the SAATCA-accredited R638 Person in Charge training course.</w:t>
      </w:r>
    </w:p>
    <w:bookmarkEnd w:id="107"/>
    <w:bookmarkStart w:id="108" w:name="food-safety-certification-roadmap"/>
    <w:p>
      <w:pPr>
        <w:pStyle w:val="Heading4"/>
      </w:pPr>
      <w:r>
        <w:t xml:space="preserve">6.1.4 Food Safety Certification Roadmap</w:t>
      </w:r>
    </w:p>
    <w:p>
      <w:pPr>
        <w:pStyle w:val="FirstParagraph"/>
      </w:pPr>
      <w:r>
        <w:t xml:space="preserve">An interactive PDF flowchart combined with an 8-page implementation guide, this lead magnet targets food businesses that have outgrown basic R638 compliance and need to decide which certification pathway to pursue — HACCP, ISO 22000, FSSC 22000 Version 6, or GLOBALG.A.P. The decision-tree format asks five questions (business type, number of employees, target market, export orientation, and retailer requirements) and delivers a customised certification recommendation with timeline and cost estimates</w:t>
      </w:r>
      <w:r>
        <w:t xml:space="preserve"> </w:t>
      </w:r>
      <w:fldSimple w:instr="NOTEREF _Ref_Footnote_9 \h \f">
        <w:r>
          <w:rPr>
            <w:vertAlign w:val="superscript"/>
          </w:rPr>
          <w:t>9</w:t>
        </w:r>
      </w:fldSimple>
      <w:r>
        <w:t xml:space="preserve"> </w:t>
      </w:r>
      <w:fldSimple w:instr="NOTEREF _Ref_Footnote_20 \h \f">
        <w:r>
          <w:rPr>
            <w:vertAlign w:val="superscript"/>
          </w:rPr>
          <w:t>20</w:t>
        </w:r>
      </w:fldSimple>
      <w:r>
        <w:t xml:space="preserve">.</w:t>
      </w:r>
    </w:p>
    <w:p>
      <w:pPr>
        <w:pStyle w:val="BodyText"/>
      </w:pPr>
      <w:r>
        <w:t xml:space="preserve">This magnet positions RFC’s consulting services directly. FSSC 22000 certification requires documented food safety management systems, internal audit programmes, hazard analysis, and management commitment evidence — deliverables that most South African food manufacturers cannot produce without expert guidance. The follow-up 5-email sequence promotes RFC’s certification readiness assessments and internal auditor training courses.</w:t>
      </w:r>
    </w:p>
    <w:bookmarkEnd w:id="108"/>
    <w:bookmarkStart w:id="109" w:name="home-based-food-business-starter-kit"/>
    <w:p>
      <w:pPr>
        <w:pStyle w:val="Heading4"/>
      </w:pPr>
      <w:r>
        <w:t xml:space="preserve">6.1.5 Home-Based Food Business Starter Kit</w:t>
      </w:r>
    </w:p>
    <w:p>
      <w:pPr>
        <w:pStyle w:val="FirstParagraph"/>
      </w:pPr>
      <w:r>
        <w:t xml:space="preserve">South Africa’s home-based food sector has expanded substantially since 2020, creating a large addressable market of bakers, caterers, sauce makers, and meal prep services operating from residential kitchens — many without the COA that R638 legally requires even for home operations. This 15-page guide plus five templates covers municipal zoning and landlord permissions, kitchen setup specifications for inspection readiness, basic SOP templates, labelling requirements under R146, shelf-life testing fundamentals, SARS tax registration guidance, and a food business plan template</w:t>
      </w:r>
      <w:r>
        <w:t xml:space="preserve"> </w:t>
      </w:r>
      <w:fldSimple w:instr="NOTEREF _Ref_Footnote_51 \h \f">
        <w:r>
          <w:rPr>
            <w:vertAlign w:val="superscript"/>
          </w:rPr>
          <w:t>51</w:t>
        </w:r>
      </w:fldSimple>
      <w:r>
        <w:t xml:space="preserve"> </w:t>
      </w:r>
      <w:fldSimple w:instr="NOTEREF _Ref_Footnote_38 \h \f">
        <w:r>
          <w:rPr>
            <w:vertAlign w:val="superscript"/>
          </w:rPr>
          <w:t>38</w:t>
        </w:r>
      </w:fldSimple>
      <w:r>
        <w:t xml:space="preserve">.</w:t>
      </w:r>
    </w:p>
    <w:p>
      <w:pPr>
        <w:pStyle w:val="BodyText"/>
      </w:pPr>
      <w:r>
        <w:t xml:space="preserve">The starter kit uses a 7-email nurture sequence — the longest of any magnet — because home-based entrepreneurs typically require more education before purchasing. Each email addresses one section of the kit, building trust progressively before introducing RFC’s affordable online GMP course (R1,200) and consulting packages for those scaling to commercial premises.</w:t>
      </w:r>
    </w:p>
    <w:bookmarkEnd w:id="109"/>
    <w:bookmarkEnd w:id="110"/>
    <w:bookmarkStart w:id="114" w:name="email-marketing-funnels"/>
    <w:p>
      <w:pPr>
        <w:pStyle w:val="Heading3"/>
      </w:pPr>
      <w:r>
        <w:t xml:space="preserve">6.2 Email Marketing Funnels</w:t>
      </w:r>
    </w:p>
    <w:p>
      <w:pPr>
        <w:pStyle w:val="FirstParagraph"/>
      </w:pPr>
      <w:r>
        <w:t xml:space="preserve">Email marketing remains the highest-ROI channel for B2B service businesses in South Africa, where direct WhatsApp communication competes for attention but lacks the automation and segmentation capabilities of modern email platforms. Entecom operates a Guidance Hub with 61+ downloadable eBooks followed by newsletter nurture campaigns</w:t>
      </w:r>
      <w:r>
        <w:t xml:space="preserve"> </w:t>
      </w:r>
      <w:fldSimple w:instr="NOTEREF _Ref_Footnote_36 \h \f">
        <w:r>
          <w:rPr>
            <w:vertAlign w:val="superscript"/>
          </w:rPr>
          <w:t>36</w:t>
        </w:r>
      </w:fldSimple>
      <w:r>
        <w:t xml:space="preserve">, while Progress Excellence captures emails through a prominent header signup</w:t>
      </w:r>
      <w:r>
        <w:t xml:space="preserve"> </w:t>
      </w:r>
      <w:fldSimple w:instr="NOTEREF _Ref_Footnote_40 \h \f">
        <w:r>
          <w:rPr>
            <w:vertAlign w:val="superscript"/>
          </w:rPr>
          <w:t>40</w:t>
        </w:r>
      </w:fldSimple>
      <w:r>
        <w:t xml:space="preserve">. RFC must build two distinct funnels tailored to the two primary audience segments: new food businesses seeking R638/COA compliance, and established manufacturers pursuing HACCP or FSSC 22000 certification.</w:t>
      </w:r>
    </w:p>
    <w:bookmarkStart w:id="111" w:name="X454b7af4a1bcd8196bebdee17f25d749212e631"/>
    <w:p>
      <w:pPr>
        <w:pStyle w:val="Heading4"/>
      </w:pPr>
      <w:r>
        <w:t xml:space="preserve">6.2.1 Funnel 1: R638/COA Funnel for New Food Businesses</w:t>
      </w:r>
    </w:p>
    <w:p>
      <w:pPr>
        <w:pStyle w:val="FirstParagraph"/>
      </w:pPr>
      <w:r>
        <w:t xml:space="preserve">This 6-email sequence triggers automatically upon download of either the R638 Compliance Checklist or the COA Application Document Bundle, targeting new restaurant owners, spaza shop operators, home-based entrepreneurs, and catering business founders whose immediate concern is passing a municipal inspection.</w:t>
      </w:r>
    </w:p>
    <w:p>
      <w:pPr>
        <w:pStyle w:val="BodyText"/>
      </w:pPr>
      <w:r>
        <w:t xml:space="preserve">Email 1 (Immediate) delivers the resource, introduces RFC’s 12+ years of Pretoria-based consulting experience, and includes a soft invitation to follow RFC on LinkedIn. Email 2 (Day 2) addresses</w:t>
      </w:r>
      <w:r>
        <w:t xml:space="preserve"> </w:t>
      </w:r>
      <w:r>
        <w:t xml:space="preserve">“</w:t>
      </w:r>
      <w:r>
        <w:t xml:space="preserve">The 3 Most Common COA Application Mistakes That Delay Approval by Weeks,</w:t>
      </w:r>
      <w:r>
        <w:t xml:space="preserve">”</w:t>
      </w:r>
      <w:r>
        <w:t xml:space="preserve"> </w:t>
      </w:r>
      <w:r>
        <w:t xml:space="preserve">establishing expertise with municipal processes across all nine provinces. Email 3 (Day 5) asks</w:t>
      </w:r>
      <w:r>
        <w:t xml:space="preserve"> </w:t>
      </w:r>
      <w:r>
        <w:t xml:space="preserve">“</w:t>
      </w:r>
      <w:r>
        <w:t xml:space="preserve">Is Your Food Premises Actually Inspection-Ready?</w:t>
      </w:r>
      <w:r>
        <w:t xml:space="preserve">”</w:t>
      </w:r>
      <w:r>
        <w:t xml:space="preserve"> </w:t>
      </w:r>
      <w:r>
        <w:t xml:space="preserve">and links to a short online self-assessment that reactivates subscribers who have not opened previous emails. Email 4 (Day 8) explains why R638 training for the Person in Charge is legally non-negotiable, citing PIC liability under R638 and positioning the SAATCA-accredited course as risk mitigation. Email 5 (Day 12) presents an anonymised client success story — a Pretoria-based business that passed inspection first time after using RFC’s resources. Email 6 (Day 16) offers a time-limited R638 course discount code, creating urgency for subscribers nurtured through the previous five touchpoints</w:t>
      </w:r>
      <w:r>
        <w:t xml:space="preserve"> </w:t>
      </w:r>
      <w:fldSimple w:instr="NOTEREF _Ref_Footnote_38 \h \f">
        <w:r>
          <w:rPr>
            <w:vertAlign w:val="superscript"/>
          </w:rPr>
          <w:t>38</w:t>
        </w:r>
      </w:fldSimple>
      <w:r>
        <w:t xml:space="preserve"> </w:t>
      </w:r>
      <w:fldSimple w:instr="NOTEREF _Ref_Footnote_39 \h \f">
        <w:r>
          <w:rPr>
            <w:vertAlign w:val="superscript"/>
          </w:rPr>
          <w:t>39</w:t>
        </w:r>
      </w:fldSimple>
      <w:r>
        <w:t xml:space="preserve">.</w:t>
      </w:r>
    </w:p>
    <w:bookmarkEnd w:id="111"/>
    <w:bookmarkStart w:id="112" w:name="Xf0a33ae9a21f2f6707bafb1bc65a64884cd4dc1"/>
    <w:p>
      <w:pPr>
        <w:pStyle w:val="Heading4"/>
      </w:pPr>
      <w:r>
        <w:t xml:space="preserve">6.2.2 Funnel 2: HACCP/FSSC 22000 Funnel for Manufacturers</w:t>
      </w:r>
    </w:p>
    <w:p>
      <w:pPr>
        <w:pStyle w:val="FirstParagraph"/>
      </w:pPr>
      <w:r>
        <w:t xml:space="preserve">This 5-email sequence targets quality assurance managers, production supervisors, and manufacturing business owners — a higher-value segment with consulting budgets typically exceeding R50,000 for full implementation projects. It triggers upon download of the Food Safety Certification Roadmap or the Mock Recall Procedure Template.</w:t>
      </w:r>
    </w:p>
    <w:p>
      <w:pPr>
        <w:pStyle w:val="BodyText"/>
      </w:pPr>
      <w:r>
        <w:t xml:space="preserve">Email 1 delivers the resource and introduces RFC’s SAATCA-accredited consulting credentials. Email 2 (Day 3) explores</w:t>
      </w:r>
      <w:r>
        <w:t xml:space="preserve"> </w:t>
      </w:r>
      <w:r>
        <w:t xml:space="preserve">“</w:t>
      </w:r>
      <w:r>
        <w:t xml:space="preserve">HACCP vs FSSC 22000: Which Certification Does Your Business Actually Need?</w:t>
      </w:r>
      <w:r>
        <w:t xml:space="preserve">”</w:t>
      </w:r>
      <w:r>
        <w:t xml:space="preserve"> </w:t>
      </w:r>
      <w:r>
        <w:t xml:space="preserve">— collecting implicit preference data based on which links subscribers click. Email 3 (Day 7) presents</w:t>
      </w:r>
      <w:r>
        <w:t xml:space="preserve"> </w:t>
      </w:r>
      <w:r>
        <w:t xml:space="preserve">“</w:t>
      </w:r>
      <w:r>
        <w:t xml:space="preserve">The Cost of Failed Food Safety Audits in South Africa,</w:t>
      </w:r>
      <w:r>
        <w:t xml:space="preserve">”</w:t>
      </w:r>
      <w:r>
        <w:t xml:space="preserve"> </w:t>
      </w:r>
      <w:r>
        <w:t xml:space="preserve">using the 2024 peanut butter aflatoxin recall (R500,000 in National Consumer Commission fines) as a cautionary case study</w:t>
      </w:r>
      <w:r>
        <w:t xml:space="preserve"> </w:t>
      </w:r>
      <w:fldSimple w:instr="NOTEREF _Ref_Footnote_69 \h \f">
        <w:r>
          <w:rPr>
            <w:vertAlign w:val="superscript"/>
          </w:rPr>
          <w:t>69</w:t>
        </w:r>
      </w:fldSimple>
      <w:r>
        <w:t xml:space="preserve">. Email 4 (Day 12) addresses the FSSC 22000 Version 6 transition requirements, including mandatory food safety culture plans</w:t>
      </w:r>
      <w:r>
        <w:t xml:space="preserve"> </w:t>
      </w:r>
      <w:fldSimple w:instr="NOTEREF _Ref_Footnote_9 \h \f">
        <w:r>
          <w:rPr>
            <w:vertAlign w:val="superscript"/>
          </w:rPr>
          <w:t>9</w:t>
        </w:r>
      </w:fldSimple>
      <w:r>
        <w:t xml:space="preserve"> </w:t>
      </w:r>
      <w:fldSimple w:instr="NOTEREF _Ref_Footnote_20 \h \f">
        <w:r>
          <w:rPr>
            <w:vertAlign w:val="superscript"/>
          </w:rPr>
          <w:t>20</w:t>
        </w:r>
      </w:fldSimple>
      <w:r>
        <w:t xml:space="preserve">. Email 5 (Day 18) offers a free 30-minute consultation call — appropriate for a segment where the average consulting engagement exceeds R25,000.</w:t>
      </w:r>
    </w:p>
    <w:bookmarkEnd w:id="112"/>
    <w:bookmarkStart w:id="113" w:name="monthly-newsletter-structure"/>
    <w:p>
      <w:pPr>
        <w:pStyle w:val="Heading4"/>
      </w:pPr>
      <w:r>
        <w:t xml:space="preserve">6.2.3 Monthly Newsletter Structure</w:t>
      </w:r>
    </w:p>
    <w:p>
      <w:pPr>
        <w:pStyle w:val="FirstParagraph"/>
      </w:pPr>
      <w:r>
        <w:t xml:space="preserve">Beyond automated funnels, RFC should maintain a monthly newsletter that sustains engagement with non-converted subscribers. The newsletter serves five functions: it positions RFC as a regulatory authority through updates on R638 enforcement, R3337 labelling regulation developments, and municipal by-law changes; it spotlights one RFC Academy course per month with testimonials; it delivers a free practical tip or template exclusive to subscribers; it announces upcoming webinars; and it rounds up recent blog posts</w:t>
      </w:r>
      <w:r>
        <w:t xml:space="preserve"> </w:t>
      </w:r>
      <w:fldSimple w:instr="NOTEREF _Ref_Footnote_36 \h \f">
        <w:r>
          <w:rPr>
            <w:vertAlign w:val="superscript"/>
          </w:rPr>
          <w:t>36</w:t>
        </w:r>
      </w:fldSimple>
      <w:r>
        <w:t xml:space="preserve"> </w:t>
      </w:r>
      <w:fldSimple w:instr="NOTEREF _Ref_Footnote_40 \h \f">
        <w:r>
          <w:rPr>
            <w:vertAlign w:val="superscript"/>
          </w:rPr>
          <w:t>40</w:t>
        </w:r>
      </w:fldSimple>
      <w:r>
        <w:t xml:space="preserve">. Subject lines should follow a dual-benefit structure:</w:t>
      </w:r>
      <w:r>
        <w:t xml:space="preserve"> </w:t>
      </w:r>
      <w:r>
        <w:t xml:space="preserve">“</w:t>
      </w:r>
      <w:r>
        <w:t xml:space="preserve">RFC Food Safety Update: [Regulatory News] + [Free Resource] — [Month Year].</w:t>
      </w:r>
      <w:r>
        <w:t xml:space="preserve">”</w:t>
      </w:r>
      <w:r>
        <w:t xml:space="preserve"> </w:t>
      </w:r>
      <w:r>
        <w:t xml:space="preserve">Segmenting the list by business type enables targeted sends: manufacturing subscribers receive FSSC 22000 and HACCP-focused content, while restaurant and retail subscribers see R638 and COA-related updates.</w:t>
      </w:r>
    </w:p>
    <w:bookmarkEnd w:id="113"/>
    <w:bookmarkEnd w:id="114"/>
    <w:bookmarkStart w:id="119" w:name="conversion-optimization"/>
    <w:p>
      <w:pPr>
        <w:pStyle w:val="Heading3"/>
      </w:pPr>
      <w:r>
        <w:t xml:space="preserve">6.3 Conversion Optimization</w:t>
      </w:r>
    </w:p>
    <w:p>
      <w:pPr>
        <w:pStyle w:val="FirstParagraph"/>
      </w:pPr>
      <w:r>
        <w:t xml:space="preserve">Lead magnets and funnels attract and nurture prospects, but conversion happens on landing pages where purchase decisions are made. ASC Food Safety uses multiple CTAs per page</w:t>
      </w:r>
      <w:r>
        <w:t xml:space="preserve"> </w:t>
      </w:r>
      <w:fldSimple w:instr="NOTEREF _Ref_Footnote_9 \h \f">
        <w:r>
          <w:rPr>
            <w:vertAlign w:val="superscript"/>
          </w:rPr>
          <w:t>9</w:t>
        </w:r>
      </w:fldSimple>
      <w:r>
        <w:t xml:space="preserve">, Entecom places a chat widget and callback request feature on every page</w:t>
      </w:r>
      <w:r>
        <w:t xml:space="preserve"> </w:t>
      </w:r>
      <w:fldSimple w:instr="NOTEREF _Ref_Footnote_36 \h \f">
        <w:r>
          <w:rPr>
            <w:vertAlign w:val="superscript"/>
          </w:rPr>
          <w:t>36</w:t>
        </w:r>
      </w:fldSimple>
      <w:r>
        <w:t xml:space="preserve">, and Shilux prominently displays click-to-WhatsApp buttons</w:t>
      </w:r>
      <w:r>
        <w:t xml:space="preserve"> </w:t>
      </w:r>
      <w:fldSimple w:instr="NOTEREF _Ref_Footnote_23 \h \f">
        <w:r>
          <w:rPr>
            <w:vertAlign w:val="superscript"/>
          </w:rPr>
          <w:t>23</w:t>
        </w:r>
      </w:fldSimple>
      <w:r>
        <w:t xml:space="preserve">. RFC’s conversion infrastructure must match this density of opportunity while improving through systematic testing and South African market-specific adaptations.</w:t>
      </w:r>
    </w:p>
    <w:bookmarkStart w:id="115" w:name="landing-page-best-practices"/>
    <w:p>
      <w:pPr>
        <w:pStyle w:val="Heading4"/>
      </w:pPr>
      <w:r>
        <w:t xml:space="preserve">6.3.1 Landing Page Best Practices</w:t>
      </w:r>
    </w:p>
    <w:p>
      <w:pPr>
        <w:pStyle w:val="FirstParagraph"/>
      </w:pPr>
      <w:r>
        <w:t xml:space="preserve">Every landing page RFC creates should incorporate eleven essential elements. The headline must lead with a specific outcome —</w:t>
      </w:r>
      <w:r>
        <w:t xml:space="preserve"> </w:t>
      </w:r>
      <w:r>
        <w:t xml:space="preserve">“</w:t>
      </w:r>
      <w:r>
        <w:t xml:space="preserve">Get Your Team R638-Compliant in 2 Days</w:t>
      </w:r>
      <w:r>
        <w:t xml:space="preserve">”</w:t>
      </w:r>
      <w:r>
        <w:t xml:space="preserve"> </w:t>
      </w:r>
      <w:r>
        <w:t xml:space="preserve">outperforms</w:t>
      </w:r>
      <w:r>
        <w:t xml:space="preserve"> </w:t>
      </w:r>
      <w:r>
        <w:t xml:space="preserve">“</w:t>
      </w:r>
      <w:r>
        <w:t xml:space="preserve">R638 Training Course</w:t>
      </w:r>
      <w:r>
        <w:t xml:space="preserve">”</w:t>
      </w:r>
      <w:r>
        <w:t xml:space="preserve"> </w:t>
      </w:r>
      <w:r>
        <w:t xml:space="preserve">because it answers the prospect’s implicit</w:t>
      </w:r>
      <w:r>
        <w:t xml:space="preserve"> </w:t>
      </w:r>
      <w:r>
        <w:t xml:space="preserve">“</w:t>
      </w:r>
      <w:r>
        <w:t xml:space="preserve">what will this do for me?</w:t>
      </w:r>
      <w:r>
        <w:t xml:space="preserve">”</w:t>
      </w:r>
      <w:r>
        <w:t xml:space="preserve"> </w:t>
      </w:r>
      <w:r>
        <w:t xml:space="preserve">question. The subheadline reinforces with concrete detail:</w:t>
      </w:r>
      <w:r>
        <w:t xml:space="preserve"> </w:t>
      </w:r>
      <w:r>
        <w:t xml:space="preserve">“</w:t>
      </w:r>
      <w:r>
        <w:t xml:space="preserve">SAATCA-Accredited Person in Charge Training, Accepted by Municipalities Nationwide.</w:t>
      </w:r>
      <w:r>
        <w:t xml:space="preserve">”</w:t>
      </w:r>
      <w:r>
        <w:t xml:space="preserve"> </w:t>
      </w:r>
      <w:r>
        <w:t xml:space="preserve">The hero image should show RFC trainers in an actual food safety environment rather than stock photography — authenticity matters where trust is the primary purchase determinant.</w:t>
      </w:r>
    </w:p>
    <w:p>
      <w:pPr>
        <w:pStyle w:val="BodyText"/>
      </w:pPr>
      <w:r>
        <w:t xml:space="preserve">Trust indicators follow immediately: SAATCA logo, years in operation (2013), and client testimonials. Price transparency appears next — display the R1,600 course fee directly, or use</w:t>
      </w:r>
      <w:r>
        <w:t xml:space="preserve"> </w:t>
      </w:r>
      <w:r>
        <w:t xml:space="preserve">“</w:t>
      </w:r>
      <w:r>
        <w:t xml:space="preserve">Request a Custom Quote</w:t>
      </w:r>
      <w:r>
        <w:t xml:space="preserve">”</w:t>
      </w:r>
      <w:r>
        <w:t xml:space="preserve"> </w:t>
      </w:r>
      <w:r>
        <w:t xml:space="preserve">with a response-time guarantee for consulting services. Three to five bullet-point benefits should address specific pain points (</w:t>
      </w:r>
      <w:r>
        <w:t xml:space="preserve">“</w:t>
      </w:r>
      <w:r>
        <w:t xml:space="preserve">Pass your municipal inspection first time,</w:t>
      </w:r>
      <w:r>
        <w:t xml:space="preserve">”</w:t>
      </w:r>
      <w:r>
        <w:t xml:space="preserve"> </w:t>
      </w:r>
      <w:r>
        <w:t xml:space="preserve">“</w:t>
      </w:r>
      <w:r>
        <w:t xml:space="preserve">Avoid R638 non-compliance fines,</w:t>
      </w:r>
      <w:r>
        <w:t xml:space="preserve">”</w:t>
      </w:r>
      <w:r>
        <w:t xml:space="preserve"> </w:t>
      </w:r>
      <w:r>
        <w:t xml:space="preserve">“</w:t>
      </w:r>
      <w:r>
        <w:t xml:space="preserve">Train at your own pace — 100% online</w:t>
      </w:r>
      <w:r>
        <w:t xml:space="preserve">”</w:t>
      </w:r>
      <w:r>
        <w:t xml:space="preserve">). Social proof through testimonials, Google review stars, and client logos provides third-party validation. The primary CTA above the fold uses action-oriented language —</w:t>
      </w:r>
      <w:r>
        <w:t xml:space="preserve"> </w:t>
      </w:r>
      <w:r>
        <w:t xml:space="preserve">“</w:t>
      </w:r>
      <w:r>
        <w:t xml:space="preserve">Enrol Now</w:t>
      </w:r>
      <w:r>
        <w:t xml:space="preserve">”</w:t>
      </w:r>
      <w:r>
        <w:t xml:space="preserve"> </w:t>
      </w:r>
      <w:r>
        <w:t xml:space="preserve">or</w:t>
      </w:r>
      <w:r>
        <w:t xml:space="preserve"> </w:t>
      </w:r>
      <w:r>
        <w:t xml:space="preserve">“</w:t>
      </w:r>
      <w:r>
        <w:t xml:space="preserve">Download Free Guide</w:t>
      </w:r>
      <w:r>
        <w:t xml:space="preserve">”</w:t>
      </w:r>
      <w:r>
        <w:t xml:space="preserve"> </w:t>
      </w:r>
      <w:r>
        <w:t xml:space="preserve">— in a contrasting colour. An FAQ section handles objections while adding keyword-rich content for organic rankings. A secondary CTA at the page bottom captures scrollers who consumed all content before deciding. Finally, an exit-intent popup offering the relevant lead magnet recovers 5–10% of visitors who would otherwise leave without converting</w:t>
      </w:r>
      <w:r>
        <w:t xml:space="preserve"> </w:t>
      </w:r>
      <w:fldSimple w:instr="NOTEREF _Ref_Footnote_9 \h \f">
        <w:r>
          <w:rPr>
            <w:vertAlign w:val="superscript"/>
          </w:rPr>
          <w:t>9</w:t>
        </w:r>
      </w:fldSimple>
      <w:r>
        <w:t xml:space="preserve"> </w:t>
      </w:r>
      <w:fldSimple w:instr="NOTEREF _Ref_Footnote_36 \h \f">
        <w:r>
          <w:rPr>
            <w:vertAlign w:val="superscript"/>
          </w:rPr>
          <w:t>36</w:t>
        </w:r>
      </w:fldSimple>
      <w:r>
        <w:t xml:space="preserve"> </w:t>
      </w:r>
      <w:fldSimple w:instr="NOTEREF _Ref_Footnote_40 \h \f">
        <w:r>
          <w:rPr>
            <w:vertAlign w:val="superscript"/>
          </w:rPr>
          <w:t>40</w:t>
        </w:r>
      </w:fldSimple>
      <w:r>
        <w:t xml:space="preserve">.</w:t>
      </w:r>
    </w:p>
    <w:bookmarkEnd w:id="115"/>
    <w:bookmarkStart w:id="116" w:name="dedicated-landing-pages"/>
    <w:p>
      <w:pPr>
        <w:pStyle w:val="Heading4"/>
      </w:pPr>
      <w:r>
        <w:t xml:space="preserve">6.3.2 Dedicated Landing Pages</w:t>
      </w:r>
    </w:p>
    <w:p>
      <w:pPr>
        <w:pStyle w:val="FirstParagraph"/>
      </w:pPr>
      <w:r>
        <w:t xml:space="preserve">RFC should build thirteen dedicated landing pages, each serving a distinct traffic source and conversion objective. The table below organises these by category, showing how the architecture supports both service-based and lead-magnet-based conversion paths.</w:t>
      </w:r>
    </w:p>
    <w:tbl>
      <w:tblPr>
        <w:tblStyle w:val="Table"/>
        <w:tblW w:type="pct" w:w="5000"/>
        <w:tblLook w:firstRow="1" w:lastRow="0" w:firstColumn="0" w:lastColumn="0" w:noHBand="0" w:noVBand="0" w:val="0020"/>
      </w:tblPr>
      <w:tblGrid>
        <w:gridCol w:w="1342"/>
        <w:gridCol w:w="2147"/>
        <w:gridCol w:w="2147"/>
        <w:gridCol w:w="2282"/>
      </w:tblGrid>
      <w:tr>
        <w:trPr>
          <w:tblHeader w:val="true"/>
        </w:trPr>
        <w:tc>
          <w:tcPr/>
          <w:p>
            <w:pPr>
              <w:pStyle w:val="Compact"/>
              <w:jc w:val="left"/>
            </w:pPr>
            <w:r>
              <w:t xml:space="preserve">Page URL</w:t>
            </w:r>
          </w:p>
        </w:tc>
        <w:tc>
          <w:tcPr/>
          <w:p>
            <w:pPr>
              <w:pStyle w:val="Compact"/>
              <w:jc w:val="left"/>
            </w:pPr>
            <w:r>
              <w:t xml:space="preserve">Primary Purpose</w:t>
            </w:r>
          </w:p>
        </w:tc>
        <w:tc>
          <w:tcPr/>
          <w:p>
            <w:pPr>
              <w:pStyle w:val="Compact"/>
              <w:jc w:val="left"/>
            </w:pPr>
            <w:r>
              <w:t xml:space="preserve">Traffic Source</w:t>
            </w:r>
          </w:p>
        </w:tc>
        <w:tc>
          <w:tcPr/>
          <w:p>
            <w:pPr>
              <w:pStyle w:val="Compact"/>
              <w:jc w:val="left"/>
            </w:pPr>
            <w:r>
              <w:t xml:space="preserve">Conversion Goal</w:t>
            </w:r>
          </w:p>
        </w:tc>
      </w:tr>
      <w:tr>
        <w:tc>
          <w:tcPr/>
          <w:p>
            <w:pPr>
              <w:pStyle w:val="Compact"/>
              <w:jc w:val="left"/>
            </w:pPr>
            <w:r>
              <w:t xml:space="preserve">/r638-training-pretoria/</w:t>
            </w:r>
          </w:p>
        </w:tc>
        <w:tc>
          <w:tcPr/>
          <w:p>
            <w:pPr>
              <w:pStyle w:val="Compact"/>
              <w:jc w:val="left"/>
            </w:pPr>
            <w:r>
              <w:t xml:space="preserve">R638 course enrolment — Pretoria</w:t>
            </w:r>
          </w:p>
        </w:tc>
        <w:tc>
          <w:tcPr/>
          <w:p>
            <w:pPr>
              <w:pStyle w:val="Compact"/>
              <w:jc w:val="left"/>
            </w:pPr>
            <w:r>
              <w:t xml:space="preserve">Local SEO, Google Ads</w:t>
            </w:r>
          </w:p>
        </w:tc>
        <w:tc>
          <w:tcPr/>
          <w:p>
            <w:pPr>
              <w:pStyle w:val="Compact"/>
              <w:jc w:val="left"/>
            </w:pPr>
            <w:r>
              <w:t xml:space="preserve">Course purchase</w:t>
            </w:r>
          </w:p>
        </w:tc>
      </w:tr>
      <w:tr>
        <w:tc>
          <w:tcPr/>
          <w:p>
            <w:pPr>
              <w:pStyle w:val="Compact"/>
              <w:jc w:val="left"/>
            </w:pPr>
            <w:r>
              <w:t xml:space="preserve">/r638-training-online/</w:t>
            </w:r>
          </w:p>
        </w:tc>
        <w:tc>
          <w:tcPr/>
          <w:p>
            <w:pPr>
              <w:pStyle w:val="Compact"/>
              <w:jc w:val="left"/>
            </w:pPr>
            <w:r>
              <w:t xml:space="preserve">R638 course enrolment — national</w:t>
            </w:r>
          </w:p>
        </w:tc>
        <w:tc>
          <w:tcPr/>
          <w:p>
            <w:pPr>
              <w:pStyle w:val="Compact"/>
              <w:jc w:val="left"/>
            </w:pPr>
            <w:r>
              <w:t xml:space="preserve">Organic search, social</w:t>
            </w:r>
          </w:p>
        </w:tc>
        <w:tc>
          <w:tcPr/>
          <w:p>
            <w:pPr>
              <w:pStyle w:val="Compact"/>
              <w:jc w:val="left"/>
            </w:pPr>
            <w:r>
              <w:t xml:space="preserve">Course purchase</w:t>
            </w:r>
          </w:p>
        </w:tc>
      </w:tr>
      <w:tr>
        <w:tc>
          <w:tcPr/>
          <w:p>
            <w:pPr>
              <w:pStyle w:val="Compact"/>
              <w:jc w:val="left"/>
            </w:pPr>
            <w:r>
              <w:t xml:space="preserve">/haccp-training-pretoria/</w:t>
            </w:r>
          </w:p>
        </w:tc>
        <w:tc>
          <w:tcPr/>
          <w:p>
            <w:pPr>
              <w:pStyle w:val="Compact"/>
              <w:jc w:val="left"/>
            </w:pPr>
            <w:r>
              <w:t xml:space="preserve">HACCP training promotion</w:t>
            </w:r>
          </w:p>
        </w:tc>
        <w:tc>
          <w:tcPr/>
          <w:p>
            <w:pPr>
              <w:pStyle w:val="Compact"/>
              <w:jc w:val="left"/>
            </w:pPr>
            <w:r>
              <w:t xml:space="preserve">Local SEO, blog CTAs</w:t>
            </w:r>
          </w:p>
        </w:tc>
        <w:tc>
          <w:tcPr/>
          <w:p>
            <w:pPr>
              <w:pStyle w:val="Compact"/>
              <w:jc w:val="left"/>
            </w:pPr>
            <w:r>
              <w:t xml:space="preserve">Course purchase or inquiry</w:t>
            </w:r>
          </w:p>
        </w:tc>
      </w:tr>
      <w:tr>
        <w:tc>
          <w:tcPr/>
          <w:p>
            <w:pPr>
              <w:pStyle w:val="Compact"/>
              <w:jc w:val="left"/>
            </w:pPr>
            <w:r>
              <w:t xml:space="preserve">/food-safety-consulting-pretoria/</w:t>
            </w:r>
          </w:p>
        </w:tc>
        <w:tc>
          <w:tcPr/>
          <w:p>
            <w:pPr>
              <w:pStyle w:val="Compact"/>
              <w:jc w:val="left"/>
            </w:pPr>
            <w:r>
              <w:t xml:space="preserve">Consulting services overview</w:t>
            </w:r>
          </w:p>
        </w:tc>
        <w:tc>
          <w:tcPr/>
          <w:p>
            <w:pPr>
              <w:pStyle w:val="Compact"/>
              <w:jc w:val="left"/>
            </w:pPr>
            <w:r>
              <w:t xml:space="preserve">Local SEO, LinkedIn</w:t>
            </w:r>
          </w:p>
        </w:tc>
        <w:tc>
          <w:tcPr/>
          <w:p>
            <w:pPr>
              <w:pStyle w:val="Compact"/>
              <w:jc w:val="left"/>
            </w:pPr>
            <w:r>
              <w:t xml:space="preserve">Consultation booking</w:t>
            </w:r>
          </w:p>
        </w:tc>
      </w:tr>
      <w:tr>
        <w:tc>
          <w:tcPr/>
          <w:p>
            <w:pPr>
              <w:pStyle w:val="Compact"/>
              <w:jc w:val="left"/>
            </w:pPr>
            <w:r>
              <w:t xml:space="preserve">/iso-22000-consulting-south-africa/</w:t>
            </w:r>
          </w:p>
        </w:tc>
        <w:tc>
          <w:tcPr/>
          <w:p>
            <w:pPr>
              <w:pStyle w:val="Compact"/>
              <w:jc w:val="left"/>
            </w:pPr>
            <w:r>
              <w:t xml:space="preserve">ISO 22000 implementation</w:t>
            </w:r>
          </w:p>
        </w:tc>
        <w:tc>
          <w:tcPr/>
          <w:p>
            <w:pPr>
              <w:pStyle w:val="Compact"/>
              <w:jc w:val="left"/>
            </w:pPr>
            <w:r>
              <w:t xml:space="preserve">Industry search, content</w:t>
            </w:r>
          </w:p>
        </w:tc>
        <w:tc>
          <w:tcPr/>
          <w:p>
            <w:pPr>
              <w:pStyle w:val="Compact"/>
              <w:jc w:val="left"/>
            </w:pPr>
            <w:r>
              <w:t xml:space="preserve">Consulting inquiry</w:t>
            </w:r>
          </w:p>
        </w:tc>
      </w:tr>
      <w:tr>
        <w:tc>
          <w:tcPr/>
          <w:p>
            <w:pPr>
              <w:pStyle w:val="Compact"/>
              <w:jc w:val="left"/>
            </w:pPr>
            <w:r>
              <w:t xml:space="preserve">/fssc-22000-training-south-africa/</w:t>
            </w:r>
          </w:p>
        </w:tc>
        <w:tc>
          <w:tcPr/>
          <w:p>
            <w:pPr>
              <w:pStyle w:val="Compact"/>
              <w:jc w:val="left"/>
            </w:pPr>
            <w:r>
              <w:t xml:space="preserve">FSSC 22000 courses and consulting</w:t>
            </w:r>
          </w:p>
        </w:tc>
        <w:tc>
          <w:tcPr/>
          <w:p>
            <w:pPr>
              <w:pStyle w:val="Compact"/>
              <w:jc w:val="left"/>
            </w:pPr>
            <w:r>
              <w:t xml:space="preserve">Industry search, content</w:t>
            </w:r>
          </w:p>
        </w:tc>
        <w:tc>
          <w:tcPr/>
          <w:p>
            <w:pPr>
              <w:pStyle w:val="Compact"/>
              <w:jc w:val="left"/>
            </w:pPr>
            <w:r>
              <w:t xml:space="preserve">Course purchase or inquiry</w:t>
            </w:r>
          </w:p>
        </w:tc>
      </w:tr>
      <w:tr>
        <w:tc>
          <w:tcPr/>
          <w:p>
            <w:pPr>
              <w:pStyle w:val="Compact"/>
              <w:jc w:val="left"/>
            </w:pPr>
            <w:r>
              <w:t xml:space="preserve">/free-r638-checklist/</w:t>
            </w:r>
          </w:p>
        </w:tc>
        <w:tc>
          <w:tcPr/>
          <w:p>
            <w:pPr>
              <w:pStyle w:val="Compact"/>
              <w:jc w:val="left"/>
            </w:pPr>
            <w:r>
              <w:t xml:space="preserve">Lead magnet — R638 checklist</w:t>
            </w:r>
          </w:p>
        </w:tc>
        <w:tc>
          <w:tcPr/>
          <w:p>
            <w:pPr>
              <w:pStyle w:val="Compact"/>
              <w:jc w:val="left"/>
            </w:pPr>
            <w:r>
              <w:t xml:space="preserve">Blog CTAs, social, exit intent</w:t>
            </w:r>
          </w:p>
        </w:tc>
        <w:tc>
          <w:tcPr/>
          <w:p>
            <w:pPr>
              <w:pStyle w:val="Compact"/>
              <w:jc w:val="left"/>
            </w:pPr>
            <w:r>
              <w:t xml:space="preserve">Email capture</w:t>
            </w:r>
          </w:p>
        </w:tc>
      </w:tr>
      <w:tr>
        <w:tc>
          <w:tcPr/>
          <w:p>
            <w:pPr>
              <w:pStyle w:val="Compact"/>
              <w:jc w:val="left"/>
            </w:pPr>
            <w:r>
              <w:t xml:space="preserve">/free-coa-guide/</w:t>
            </w:r>
          </w:p>
        </w:tc>
        <w:tc>
          <w:tcPr/>
          <w:p>
            <w:pPr>
              <w:pStyle w:val="Compact"/>
              <w:jc w:val="left"/>
            </w:pPr>
            <w:r>
              <w:t xml:space="preserve">Lead magnet — COA templates</w:t>
            </w:r>
          </w:p>
        </w:tc>
        <w:tc>
          <w:tcPr/>
          <w:p>
            <w:pPr>
              <w:pStyle w:val="Compact"/>
              <w:jc w:val="left"/>
            </w:pPr>
            <w:r>
              <w:t xml:space="preserve">Blog CTAs, social, exit intent</w:t>
            </w:r>
          </w:p>
        </w:tc>
        <w:tc>
          <w:tcPr/>
          <w:p>
            <w:pPr>
              <w:pStyle w:val="Compact"/>
              <w:jc w:val="left"/>
            </w:pPr>
            <w:r>
              <w:t xml:space="preserve">Email capture</w:t>
            </w:r>
          </w:p>
        </w:tc>
      </w:tr>
      <w:tr>
        <w:tc>
          <w:tcPr/>
          <w:p>
            <w:pPr>
              <w:pStyle w:val="Compact"/>
              <w:jc w:val="left"/>
            </w:pPr>
            <w:r>
              <w:t xml:space="preserve">/certificate-of-acceptability-guide/</w:t>
            </w:r>
          </w:p>
        </w:tc>
        <w:tc>
          <w:tcPr/>
          <w:p>
            <w:pPr>
              <w:pStyle w:val="Compact"/>
              <w:jc w:val="left"/>
            </w:pPr>
            <w:r>
              <w:t xml:space="preserve">Informational + lead capture</w:t>
            </w:r>
          </w:p>
        </w:tc>
        <w:tc>
          <w:tcPr/>
          <w:p>
            <w:pPr>
              <w:pStyle w:val="Compact"/>
              <w:jc w:val="left"/>
            </w:pPr>
            <w:r>
              <w:t xml:space="preserve">Organic search (</w:t>
            </w:r>
            <w:r>
              <w:t xml:space="preserve">“</w:t>
            </w:r>
            <w:r>
              <w:t xml:space="preserve">how to get COA</w:t>
            </w:r>
            <w:r>
              <w:t xml:space="preserve">”</w:t>
            </w:r>
            <w:r>
              <w:t xml:space="preserve">)</w:t>
            </w:r>
          </w:p>
        </w:tc>
        <w:tc>
          <w:tcPr/>
          <w:p>
            <w:pPr>
              <w:pStyle w:val="Compact"/>
              <w:jc w:val="left"/>
            </w:pPr>
            <w:r>
              <w:t xml:space="preserve">Email capture</w:t>
            </w:r>
          </w:p>
        </w:tc>
      </w:tr>
      <w:tr>
        <w:tc>
          <w:tcPr/>
          <w:p>
            <w:pPr>
              <w:pStyle w:val="Compact"/>
              <w:jc w:val="left"/>
            </w:pPr>
            <w:r>
              <w:t xml:space="preserve">/globalgap-training-south-africa/</w:t>
            </w:r>
          </w:p>
        </w:tc>
        <w:tc>
          <w:tcPr/>
          <w:p>
            <w:pPr>
              <w:pStyle w:val="Compact"/>
              <w:jc w:val="left"/>
            </w:pPr>
            <w:r>
              <w:t xml:space="preserve">GLOBALG.A.P services</w:t>
            </w:r>
          </w:p>
        </w:tc>
        <w:tc>
          <w:tcPr/>
          <w:p>
            <w:pPr>
              <w:pStyle w:val="Compact"/>
              <w:jc w:val="left"/>
            </w:pPr>
            <w:r>
              <w:t xml:space="preserve">Agricultural search, content</w:t>
            </w:r>
          </w:p>
        </w:tc>
        <w:tc>
          <w:tcPr/>
          <w:p>
            <w:pPr>
              <w:pStyle w:val="Compact"/>
              <w:jc w:val="left"/>
            </w:pPr>
            <w:r>
              <w:t xml:space="preserve">Consulting inquiry</w:t>
            </w:r>
          </w:p>
        </w:tc>
      </w:tr>
      <w:tr>
        <w:tc>
          <w:tcPr/>
          <w:p>
            <w:pPr>
              <w:pStyle w:val="Compact"/>
              <w:jc w:val="left"/>
            </w:pPr>
            <w:r>
              <w:t xml:space="preserve">/food-safety-culture-training/</w:t>
            </w:r>
          </w:p>
        </w:tc>
        <w:tc>
          <w:tcPr/>
          <w:p>
            <w:pPr>
              <w:pStyle w:val="Compact"/>
              <w:jc w:val="left"/>
            </w:pPr>
            <w:r>
              <w:t xml:space="preserve">Culture course and consulting</w:t>
            </w:r>
          </w:p>
        </w:tc>
        <w:tc>
          <w:tcPr/>
          <w:p>
            <w:pPr>
              <w:pStyle w:val="Compact"/>
              <w:jc w:val="left"/>
            </w:pPr>
            <w:r>
              <w:t xml:space="preserve">FSSC V6 content, blog</w:t>
            </w:r>
          </w:p>
        </w:tc>
        <w:tc>
          <w:tcPr/>
          <w:p>
            <w:pPr>
              <w:pStyle w:val="Compact"/>
              <w:jc w:val="left"/>
            </w:pPr>
            <w:r>
              <w:t xml:space="preserve">Course purchase or inquiry</w:t>
            </w:r>
          </w:p>
        </w:tc>
      </w:tr>
      <w:tr>
        <w:tc>
          <w:tcPr/>
          <w:p>
            <w:pPr>
              <w:pStyle w:val="Compact"/>
              <w:jc w:val="left"/>
            </w:pPr>
            <w:r>
              <w:t xml:space="preserve">/food-defence-food-fraud-training/</w:t>
            </w:r>
          </w:p>
        </w:tc>
        <w:tc>
          <w:tcPr/>
          <w:p>
            <w:pPr>
              <w:pStyle w:val="Compact"/>
              <w:jc w:val="left"/>
            </w:pPr>
            <w:r>
              <w:t xml:space="preserve">TACCP/VACCP services</w:t>
            </w:r>
          </w:p>
        </w:tc>
        <w:tc>
          <w:tcPr/>
          <w:p>
            <w:pPr>
              <w:pStyle w:val="Compact"/>
              <w:jc w:val="left"/>
            </w:pPr>
            <w:r>
              <w:t xml:space="preserve">Industry search, blog CTAs</w:t>
            </w:r>
          </w:p>
        </w:tc>
        <w:tc>
          <w:tcPr/>
          <w:p>
            <w:pPr>
              <w:pStyle w:val="Compact"/>
              <w:jc w:val="left"/>
            </w:pPr>
            <w:r>
              <w:t xml:space="preserve">Course purchase or inquiry</w:t>
            </w:r>
          </w:p>
        </w:tc>
      </w:tr>
      <w:tr>
        <w:tc>
          <w:tcPr/>
          <w:p>
            <w:pPr>
              <w:pStyle w:val="Compact"/>
              <w:jc w:val="left"/>
            </w:pPr>
            <w:r>
              <w:t xml:space="preserve">/internal-auditor-training/</w:t>
            </w:r>
          </w:p>
        </w:tc>
        <w:tc>
          <w:tcPr/>
          <w:p>
            <w:pPr>
              <w:pStyle w:val="Compact"/>
              <w:jc w:val="left"/>
            </w:pPr>
            <w:r>
              <w:t xml:space="preserve">Internal auditor courses</w:t>
            </w:r>
          </w:p>
        </w:tc>
        <w:tc>
          <w:tcPr/>
          <w:p>
            <w:pPr>
              <w:pStyle w:val="Compact"/>
              <w:jc w:val="left"/>
            </w:pPr>
            <w:r>
              <w:t xml:space="preserve">ISO 22000 content, blog</w:t>
            </w:r>
          </w:p>
        </w:tc>
        <w:tc>
          <w:tcPr/>
          <w:p>
            <w:pPr>
              <w:pStyle w:val="Compact"/>
              <w:jc w:val="left"/>
            </w:pPr>
            <w:r>
              <w:t xml:space="preserve">Course purchase</w:t>
            </w:r>
          </w:p>
        </w:tc>
      </w:tr>
    </w:tbl>
    <w:p>
      <w:pPr>
        <w:pStyle w:val="BodyText"/>
      </w:pPr>
      <w:r>
        <w:t xml:space="preserve">The architecture deliberately separates service pages (pages 1–6 and 10–13, which sell directly) from lead capture pages (pages 7–9, which convert visitors into email subscribers for nurture funnels). The /certificate-of-acceptability-guide/ page bridges both functions — it ranks for informational keywords and embeds a lead magnet within educational content, following the model Food Safety Matters uses with its free COA application guide</w:t>
      </w:r>
      <w:r>
        <w:t xml:space="preserve"> </w:t>
      </w:r>
      <w:fldSimple w:instr="NOTEREF _Ref_Footnote_38 \h \f">
        <w:r>
          <w:rPr>
            <w:vertAlign w:val="superscript"/>
          </w:rPr>
          <w:t>38</w:t>
        </w:r>
      </w:fldSimple>
      <w:r>
        <w:t xml:space="preserve">. Each page should carry unique meta descriptions with clear calls to action. City-specific pages must include local schema markup with RFC’s Waverley, Pretoria address to trigger local pack appearances. All thirteen pages should be live within the first 60 days, prioritised in the order listed.</w:t>
      </w:r>
    </w:p>
    <w:bookmarkEnd w:id="116"/>
    <w:bookmarkStart w:id="117" w:name="whatsapp-business-integration"/>
    <w:p>
      <w:pPr>
        <w:pStyle w:val="Heading4"/>
      </w:pPr>
      <w:r>
        <w:t xml:space="preserve">6.3.3 WhatsApp Business Integration</w:t>
      </w:r>
    </w:p>
    <w:p>
      <w:pPr>
        <w:pStyle w:val="FirstParagraph"/>
      </w:pPr>
      <w:r>
        <w:t xml:space="preserve">South Africa’s mobile-first market demands communication channels that match actual consumer behaviour. WhatsApp dominates messaging in the country, used by over 90% of smartphone owners for both personal and business communication</w:t>
      </w:r>
      <w:r>
        <w:t xml:space="preserve"> </w:t>
      </w:r>
      <w:fldSimple w:instr="NOTEREF _Ref_Footnote_23 \h \f">
        <w:r>
          <w:rPr>
            <w:vertAlign w:val="superscript"/>
          </w:rPr>
          <w:t>23</w:t>
        </w:r>
      </w:fldSimple>
      <w:r>
        <w:t xml:space="preserve">. Shilux leverages prominent click-to-WhatsApp buttons throughout its SME pages</w:t>
      </w:r>
      <w:r>
        <w:t xml:space="preserve"> </w:t>
      </w:r>
      <w:fldSimple w:instr="NOTEREF _Ref_Footnote_46 \h \f">
        <w:r>
          <w:rPr>
            <w:vertAlign w:val="superscript"/>
          </w:rPr>
          <w:t>46</w:t>
        </w:r>
      </w:fldSimple>
      <w:r>
        <w:t xml:space="preserve">, and Entecom integrates WhatsApp into its chat system</w:t>
      </w:r>
      <w:r>
        <w:t xml:space="preserve"> </w:t>
      </w:r>
      <w:fldSimple w:instr="NOTEREF _Ref_Footnote_37 \h \f">
        <w:r>
          <w:rPr>
            <w:vertAlign w:val="superscript"/>
          </w:rPr>
          <w:t>37</w:t>
        </w:r>
      </w:fldSimple>
      <w:r>
        <w:t xml:space="preserve">. RFC must embed click-to-WhatsApp on every landing page, service page, and blog post.</w:t>
      </w:r>
    </w:p>
    <w:p>
      <w:pPr>
        <w:pStyle w:val="BodyText"/>
      </w:pPr>
      <w:r>
        <w:t xml:space="preserve">Implementation should follow three principles. First, WhatsApp buttons must be contextually relevant — on the R638 training page, the pre-filled message should read</w:t>
      </w:r>
      <w:r>
        <w:t xml:space="preserve"> </w:t>
      </w:r>
      <w:r>
        <w:t xml:space="preserve">“</w:t>
      </w:r>
      <w:r>
        <w:t xml:space="preserve">Hi RFC, I’m interested in the R638 Person in Charge training course. Can you send me more information?</w:t>
      </w:r>
      <w:r>
        <w:t xml:space="preserve">”</w:t>
      </w:r>
      <w:r>
        <w:t xml:space="preserve"> </w:t>
      </w:r>
      <w:r>
        <w:t xml:space="preserve">Second, response time must be guaranteed — WhatsApp creates an expectation of near-instant communication. RFC should establish a 2-business-hour response SLA with an auto-reply acknowledging receipt outside hours. Third, WhatsApp conversations should feed into the email marketing system so chat-based inquiries receive the same nurture treatment as form submissions.</w:t>
      </w:r>
    </w:p>
    <w:bookmarkEnd w:id="117"/>
    <w:bookmarkStart w:id="118" w:name="cta-placement-strategy"/>
    <w:p>
      <w:pPr>
        <w:pStyle w:val="Heading4"/>
      </w:pPr>
      <w:r>
        <w:t xml:space="preserve">6.3.4 CTA Placement Strategy</w:t>
      </w:r>
    </w:p>
    <w:p>
      <w:pPr>
        <w:pStyle w:val="FirstParagraph"/>
      </w:pPr>
      <w:r>
        <w:t xml:space="preserve">Effective conversion optimisation requires multiple calls-to-action distributed across the entire visitor journey. RFC’s CTA placement should follow a six-layer architecture. The homepage hero carries a primary CTA (</w:t>
      </w:r>
      <w:r>
        <w:t xml:space="preserve">“</w:t>
      </w:r>
      <w:r>
        <w:t xml:space="preserve">Explore Our Courses</w:t>
      </w:r>
      <w:r>
        <w:t xml:space="preserve">”</w:t>
      </w:r>
      <w:r>
        <w:t xml:space="preserve">) and a secondary alternative (</w:t>
      </w:r>
      <w:r>
        <w:t xml:space="preserve">“</w:t>
      </w:r>
      <w:r>
        <w:t xml:space="preserve">Get a Free Consultation</w:t>
      </w:r>
      <w:r>
        <w:t xml:space="preserve">”</w:t>
      </w:r>
      <w:r>
        <w:t xml:space="preserve">) — dual options serving visitors at different buying stages. Mid-page feature cards link to service-specific landing pages, ensuring scrollers who bypass the hero still encounter clear navigation paths. Service pages place the conversion CTA above the fold and repeat it after the benefits section and at the footer — three opportunities without appearing aggressive.</w:t>
      </w:r>
    </w:p>
    <w:p>
      <w:pPr>
        <w:pStyle w:val="BodyText"/>
      </w:pPr>
      <w:r>
        <w:t xml:space="preserve">Blog articles embed in-content CTAs contextually: an article about R638 compliance naturally concludes with</w:t>
      </w:r>
      <w:r>
        <w:t xml:space="preserve"> </w:t>
      </w:r>
      <w:r>
        <w:t xml:space="preserve">“</w:t>
      </w:r>
      <w:r>
        <w:t xml:space="preserve">Download our free R638 Compliance Checklist,</w:t>
      </w:r>
      <w:r>
        <w:t xml:space="preserve">”</w:t>
      </w:r>
      <w:r>
        <w:t xml:space="preserve"> </w:t>
      </w:r>
      <w:r>
        <w:t xml:space="preserve">while an article about FSSC 22000 V6 transitions to the Certification Roadmap lead magnet. The blog sidebar maintains a persistent newsletter signup form and rotating course promotion. Exit-intent popups trigger when mouse movement indicates the visitor is leaving, offering the most relevant lead magnet for that page — this tactic typically recovers 5–10% of otherwise lost traffic</w:t>
      </w:r>
      <w:r>
        <w:t xml:space="preserve"> </w:t>
      </w:r>
      <w:fldSimple w:instr="NOTEREF _Ref_Footnote_36 \h \f">
        <w:r>
          <w:rPr>
            <w:vertAlign w:val="superscript"/>
          </w:rPr>
          <w:t>36</w:t>
        </w:r>
      </w:fldSimple>
      <w:r>
        <w:t xml:space="preserve">. Scroll-based triggers activate after 50% page consumption, displaying</w:t>
      </w:r>
      <w:r>
        <w:t xml:space="preserve"> </w:t>
      </w:r>
      <w:r>
        <w:t xml:space="preserve">“</w:t>
      </w:r>
      <w:r>
        <w:t xml:space="preserve">Need help choosing? Book a free 15-minute call</w:t>
      </w:r>
      <w:r>
        <w:t xml:space="preserve">”</w:t>
      </w:r>
      <w:r>
        <w:t xml:space="preserve"> </w:t>
      </w:r>
      <w:r>
        <w:t xml:space="preserve">— a pattern Entecom uses effectively through its persistent chat widget</w:t>
      </w:r>
      <w:r>
        <w:t xml:space="preserve"> </w:t>
      </w:r>
      <w:fldSimple w:instr="NOTEREF _Ref_Footnote_37 \h \f">
        <w:r>
          <w:rPr>
            <w:vertAlign w:val="superscript"/>
          </w:rPr>
          <w:t>37</w:t>
        </w:r>
      </w:fldSimple>
      <w:r>
        <w:t xml:space="preserve">.</w:t>
      </w:r>
    </w:p>
    <w:p>
      <w:pPr>
        <w:pStyle w:val="BodyText"/>
      </w:pPr>
      <w:r>
        <w:t xml:space="preserve">The cumulative effect of this layered architecture is that no visitor encounters only one conversion opportunity. A prospect landing on an R638 blog post from organic search sees an in-content CTA, sidebar signup, exit-intent popup, scroll-based consultation offer, and WhatsApp click-to-chat — five distinct engagement paths calibrated to different commitment comfort levels. Combined with the lead magnet quality and email nurture sequences described earlier, this creates a conversion system that competitors with simpler approaches cannot readily match</w:t>
      </w:r>
      <w:r>
        <w:t xml:space="preserve"> </w:t>
      </w:r>
      <w:fldSimple w:instr="NOTEREF _Ref_Footnote_9 \h \f">
        <w:r>
          <w:rPr>
            <w:vertAlign w:val="superscript"/>
          </w:rPr>
          <w:t>9</w:t>
        </w:r>
      </w:fldSimple>
      <w:r>
        <w:t xml:space="preserve"> </w:t>
      </w:r>
      <w:fldSimple w:instr="NOTEREF _Ref_Footnote_23 \h \f">
        <w:r>
          <w:rPr>
            <w:vertAlign w:val="superscript"/>
          </w:rPr>
          <w:t>23</w:t>
        </w:r>
      </w:fldSimple>
      <w:r>
        <w:t xml:space="preserve">.</w:t>
      </w:r>
      <w:r>
        <w:t xml:space="preserve"> </w:t>
      </w:r>
      <w:r>
        <w:t xml:space="preserve">-e</w:t>
      </w:r>
    </w:p>
    <w:bookmarkEnd w:id="118"/>
    <w:bookmarkEnd w:id="119"/>
    <w:bookmarkEnd w:id="120"/>
    <w:bookmarkStart w:id="124" w:name="rfc-academy-growth-plan"/>
    <w:p>
      <w:pPr>
        <w:pStyle w:val="Heading2"/>
      </w:pPr>
      <w:r>
        <w:t xml:space="preserve">7. RFC Academy Growth Plan</w:t>
      </w:r>
    </w:p>
    <w:p>
      <w:pPr>
        <w:pStyle w:val="FirstParagraph"/>
      </w:pPr>
      <w:r>
        <w:t xml:space="preserve">RFC Academy currently operates with a course catalog of just three offerings, a figure that places it at a severe disadvantage against ASC Food Safety’s 65+ courses across eight categories</w:t>
      </w:r>
      <w:r>
        <w:t xml:space="preserve"> </w:t>
      </w:r>
      <w:fldSimple w:instr="NOTEREF _Ref_Footnote_9 \h \f">
        <w:r>
          <w:rPr>
            <w:vertAlign w:val="superscript"/>
          </w:rPr>
          <w:t>9</w:t>
        </w:r>
      </w:fldSimple>
      <w:r>
        <w:t xml:space="preserve">and Entecom’s 15+ courses with multiple delivery formats</w:t>
      </w:r>
      <w:r>
        <w:t xml:space="preserve"> </w:t>
      </w:r>
      <w:fldSimple w:instr="NOTEREF _Ref_Footnote_36 \h \f">
        <w:r>
          <w:rPr>
            <w:vertAlign w:val="superscript"/>
          </w:rPr>
          <w:t>36</w:t>
        </w:r>
      </w:fldSimple>
      <w:r>
        <w:t xml:space="preserve">. This gap is not merely a matter of catalog depth—it directly constrains RFC’s ability to capture search traffic for high-intent keywords such as</w:t>
      </w:r>
      <w:r>
        <w:t xml:space="preserve"> </w:t>
      </w:r>
      <w:r>
        <w:t xml:space="preserve">“</w:t>
      </w:r>
      <w:r>
        <w:t xml:space="preserve">HACCP training South Africa</w:t>
      </w:r>
      <w:r>
        <w:t xml:space="preserve">”</w:t>
      </w:r>
      <w:r>
        <w:t xml:space="preserve"> </w:t>
      </w:r>
      <w:r>
        <w:t xml:space="preserve">(300–600 monthly searches)</w:t>
      </w:r>
      <w:r>
        <w:t xml:space="preserve"> </w:t>
      </w:r>
      <w:fldSimple w:instr="NOTEREF _Ref_Footnote_9 \h \f">
        <w:r>
          <w:rPr>
            <w:vertAlign w:val="superscript"/>
          </w:rPr>
          <w:t>9</w:t>
        </w:r>
      </w:fldSimple>
      <w:r>
        <w:t xml:space="preserve">, limits repeat student engagement, and reduces the lifetime value of each enrolled learner. The growth plan that follows addresses this through a structured course expansion programme, a free content funnel designed to convert prospects into paying students, and a partnership strategy that leverages corporate training volumes and industry association networks to drive enrolments at scale.</w:t>
      </w:r>
    </w:p>
    <w:bookmarkStart w:id="121" w:name="course-expansion-recommendations"/>
    <w:p>
      <w:pPr>
        <w:pStyle w:val="Heading3"/>
      </w:pPr>
      <w:r>
        <w:t xml:space="preserve">7.1 Course Expansion Recommendations</w:t>
      </w:r>
    </w:p>
    <w:p>
      <w:pPr>
        <w:pStyle w:val="FirstParagraph"/>
      </w:pPr>
      <w:r>
        <w:t xml:space="preserve">The competitive landscape reveals a clear pattern: training providers with broader catalogs capture disproportionate market share. ASC’s 65+ courses create multiple entry points for learners at every career stage, from entry-level food handlers to FSSC 22000 Lead Auditors</w:t>
      </w:r>
      <w:r>
        <w:t xml:space="preserve"> </w:t>
      </w:r>
      <w:fldSimple w:instr="NOTEREF _Ref_Footnote_9 \h \f">
        <w:r>
          <w:rPr>
            <w:vertAlign w:val="superscript"/>
          </w:rPr>
          <w:t>9</w:t>
        </w:r>
      </w:fldSimple>
      <w:r>
        <w:t xml:space="preserve">. Entecom’s content engine—spanning 46+ articles, 61+ eBooks, 11+ podcasts, and 5+ webinars—feeds a continuous stream of qualified learners into its paid courses</w:t>
      </w:r>
      <w:r>
        <w:t xml:space="preserve"> </w:t>
      </w:r>
      <w:fldSimple w:instr="NOTEREF _Ref_Footnote_36 \h \f">
        <w:r>
          <w:rPr>
            <w:vertAlign w:val="superscript"/>
          </w:rPr>
          <w:t>36</w:t>
        </w:r>
      </w:fldSimple>
      <w:r>
        <w:t xml:space="preserve">. RFC Academy’s expansion must therefore prioritise courses that serve as both revenue drivers and strategic entry points into broader consulting engagements.</w:t>
      </w:r>
    </w:p>
    <w:p>
      <w:pPr>
        <w:pStyle w:val="BodyText"/>
      </w:pPr>
      <w:r>
        <w:t xml:space="preserve">The table below outlines five recommended new courses, each positioned to address a specific market gap, with pricing calibrated against competitor benchmarks and RFC’s existing R1,600 price point for SAATCA-accredited R638 training.</w:t>
      </w:r>
    </w:p>
    <w:tbl>
      <w:tblPr>
        <w:tblStyle w:val="Table"/>
        <w:tblW w:type="pct" w:w="5000"/>
        <w:tblLook w:firstRow="1" w:lastRow="0" w:firstColumn="0" w:lastColumn="0" w:noHBand="0" w:noVBand="0" w:val="0020"/>
      </w:tblPr>
      <w:tblGrid>
        <w:gridCol w:w="1073"/>
        <w:gridCol w:w="1342"/>
        <w:gridCol w:w="939"/>
        <w:gridCol w:w="2282"/>
        <w:gridCol w:w="2282"/>
      </w:tblGrid>
      <w:tr>
        <w:trPr>
          <w:tblHeader w:val="true"/>
        </w:trPr>
        <w:tc>
          <w:tcPr/>
          <w:p>
            <w:pPr>
              <w:pStyle w:val="Compact"/>
              <w:jc w:val="left"/>
            </w:pPr>
            <w:r>
              <w:t xml:space="preserve">Course</w:t>
            </w:r>
          </w:p>
        </w:tc>
        <w:tc>
          <w:tcPr/>
          <w:p>
            <w:pPr>
              <w:pStyle w:val="Compact"/>
              <w:jc w:val="left"/>
            </w:pPr>
            <w:r>
              <w:t xml:space="preserve">Duration</w:t>
            </w:r>
          </w:p>
        </w:tc>
        <w:tc>
          <w:tcPr/>
          <w:p>
            <w:pPr>
              <w:pStyle w:val="Compact"/>
              <w:jc w:val="left"/>
            </w:pPr>
            <w:r>
              <w:t xml:space="preserve">Price</w:t>
            </w:r>
          </w:p>
        </w:tc>
        <w:tc>
          <w:tcPr/>
          <w:p>
            <w:pPr>
              <w:pStyle w:val="Compact"/>
              <w:jc w:val="left"/>
            </w:pPr>
            <w:r>
              <w:t xml:space="preserve">Target Audience</w:t>
            </w:r>
          </w:p>
        </w:tc>
        <w:tc>
          <w:tcPr/>
          <w:p>
            <w:pPr>
              <w:pStyle w:val="Compact"/>
              <w:jc w:val="left"/>
            </w:pPr>
            <w:r>
              <w:t xml:space="preserve">Marketing Angle</w:t>
            </w:r>
          </w:p>
        </w:tc>
      </w:tr>
      <w:tr>
        <w:tc>
          <w:tcPr/>
          <w:p>
            <w:pPr>
              <w:pStyle w:val="Compact"/>
              <w:jc w:val="left"/>
            </w:pPr>
            <w:r>
              <w:t xml:space="preserve">HACCP Principles and Implementation</w:t>
            </w:r>
          </w:p>
        </w:tc>
        <w:tc>
          <w:tcPr/>
          <w:p>
            <w:pPr>
              <w:pStyle w:val="Compact"/>
              <w:jc w:val="left"/>
            </w:pPr>
            <w:r>
              <w:t xml:space="preserve">15–20 hours</w:t>
            </w:r>
          </w:p>
        </w:tc>
        <w:tc>
          <w:tcPr/>
          <w:p>
            <w:pPr>
              <w:pStyle w:val="Compact"/>
              <w:jc w:val="left"/>
            </w:pPr>
            <w:r>
              <w:t xml:space="preserve">R1,600</w:t>
            </w:r>
          </w:p>
        </w:tc>
        <w:tc>
          <w:tcPr/>
          <w:p>
            <w:pPr>
              <w:pStyle w:val="Compact"/>
              <w:jc w:val="left"/>
            </w:pPr>
            <w:r>
              <w:t xml:space="preserve">QA Managers, Food Safety Officers, Production Supervisors</w:t>
            </w:r>
          </w:p>
        </w:tc>
        <w:tc>
          <w:tcPr/>
          <w:p>
            <w:pPr>
              <w:pStyle w:val="Compact"/>
              <w:jc w:val="left"/>
            </w:pPr>
            <w:r>
              <w:t xml:space="preserve">“</w:t>
            </w:r>
            <w:r>
              <w:t xml:space="preserve">The #1 prerequisite for FSSC 22000 and ISO 22000 certification—includes downloadable HACCP plan templates</w:t>
            </w:r>
            <w:r>
              <w:t xml:space="preserve">”</w:t>
            </w:r>
          </w:p>
        </w:tc>
      </w:tr>
      <w:tr>
        <w:tc>
          <w:tcPr/>
          <w:p>
            <w:pPr>
              <w:pStyle w:val="Compact"/>
              <w:jc w:val="left"/>
            </w:pPr>
            <w:r>
              <w:t xml:space="preserve">ISO 22000 Internal Auditor Training</w:t>
            </w:r>
          </w:p>
        </w:tc>
        <w:tc>
          <w:tcPr/>
          <w:p>
            <w:pPr>
              <w:pStyle w:val="Compact"/>
              <w:jc w:val="left"/>
            </w:pPr>
            <w:r>
              <w:t xml:space="preserve">12–15 hours + practical assignment</w:t>
            </w:r>
          </w:p>
        </w:tc>
        <w:tc>
          <w:tcPr/>
          <w:p>
            <w:pPr>
              <w:pStyle w:val="Compact"/>
              <w:jc w:val="left"/>
            </w:pPr>
            <w:r>
              <w:t xml:space="preserve">R1,600</w:t>
            </w:r>
          </w:p>
        </w:tc>
        <w:tc>
          <w:tcPr/>
          <w:p>
            <w:pPr>
              <w:pStyle w:val="Compact"/>
              <w:jc w:val="left"/>
            </w:pPr>
            <w:r>
              <w:t xml:space="preserve">Internal Auditors, QA Personnel, Food Safety Team Members</w:t>
            </w:r>
          </w:p>
        </w:tc>
        <w:tc>
          <w:tcPr/>
          <w:p>
            <w:pPr>
              <w:pStyle w:val="Compact"/>
              <w:jc w:val="left"/>
            </w:pPr>
            <w:r>
              <w:t xml:space="preserve">“</w:t>
            </w:r>
            <w:r>
              <w:t xml:space="preserve">Meet your ISO 22000 auditing requirements with practical, real-world scenario training</w:t>
            </w:r>
            <w:r>
              <w:t xml:space="preserve">”</w:t>
            </w:r>
          </w:p>
        </w:tc>
      </w:tr>
      <w:tr>
        <w:tc>
          <w:tcPr/>
          <w:p>
            <w:pPr>
              <w:pStyle w:val="Compact"/>
              <w:jc w:val="left"/>
            </w:pPr>
            <w:r>
              <w:t xml:space="preserve">Food Labelling Compliance: R146 &amp; R3337</w:t>
            </w:r>
          </w:p>
        </w:tc>
        <w:tc>
          <w:tcPr/>
          <w:p>
            <w:pPr>
              <w:pStyle w:val="Compact"/>
              <w:jc w:val="left"/>
            </w:pPr>
            <w:r>
              <w:t xml:space="preserve">8–10 hours</w:t>
            </w:r>
          </w:p>
        </w:tc>
        <w:tc>
          <w:tcPr/>
          <w:p>
            <w:pPr>
              <w:pStyle w:val="Compact"/>
              <w:jc w:val="left"/>
            </w:pPr>
            <w:r>
              <w:t xml:space="preserve">R1,600</w:t>
            </w:r>
          </w:p>
        </w:tc>
        <w:tc>
          <w:tcPr/>
          <w:p>
            <w:pPr>
              <w:pStyle w:val="Compact"/>
              <w:jc w:val="left"/>
            </w:pPr>
            <w:r>
              <w:t xml:space="preserve">Food Manufacturers, Packagers, Product Developers</w:t>
            </w:r>
          </w:p>
        </w:tc>
        <w:tc>
          <w:tcPr/>
          <w:p>
            <w:pPr>
              <w:pStyle w:val="Compact"/>
              <w:jc w:val="left"/>
            </w:pPr>
            <w:r>
              <w:t xml:space="preserve">“</w:t>
            </w:r>
            <w:r>
              <w:t xml:space="preserve">Prepare for R3337 NOW—don’t wait until 2026. Includes label review checklist</w:t>
            </w:r>
            <w:r>
              <w:t xml:space="preserve">”</w:t>
            </w:r>
          </w:p>
        </w:tc>
      </w:tr>
      <w:tr>
        <w:tc>
          <w:tcPr/>
          <w:p>
            <w:pPr>
              <w:pStyle w:val="Compact"/>
              <w:jc w:val="left"/>
            </w:pPr>
            <w:r>
              <w:t xml:space="preserve">GMP Implementation and Prerequisite Programmes</w:t>
            </w:r>
          </w:p>
        </w:tc>
        <w:tc>
          <w:tcPr/>
          <w:p>
            <w:pPr>
              <w:pStyle w:val="Compact"/>
              <w:jc w:val="left"/>
            </w:pPr>
            <w:r>
              <w:t xml:space="preserve">10–12 hours</w:t>
            </w:r>
          </w:p>
        </w:tc>
        <w:tc>
          <w:tcPr/>
          <w:p>
            <w:pPr>
              <w:pStyle w:val="Compact"/>
              <w:jc w:val="left"/>
            </w:pPr>
            <w:r>
              <w:t xml:space="preserve">R1,200</w:t>
            </w:r>
          </w:p>
        </w:tc>
        <w:tc>
          <w:tcPr/>
          <w:p>
            <w:pPr>
              <w:pStyle w:val="Compact"/>
              <w:jc w:val="left"/>
            </w:pPr>
            <w:r>
              <w:t xml:space="preserve">Production Managers, Supervisors, Food Handlers, Spaza Shop Owners</w:t>
            </w:r>
          </w:p>
        </w:tc>
        <w:tc>
          <w:tcPr/>
          <w:p>
            <w:pPr>
              <w:pStyle w:val="Compact"/>
              <w:jc w:val="left"/>
            </w:pPr>
            <w:r>
              <w:t xml:space="preserve">“</w:t>
            </w:r>
            <w:r>
              <w:t xml:space="preserve">The foundation of food safety compliance—practical GMP training with ready-to-use SOP templates</w:t>
            </w:r>
            <w:r>
              <w:t xml:space="preserve">”</w:t>
            </w:r>
          </w:p>
        </w:tc>
      </w:tr>
      <w:tr>
        <w:tc>
          <w:tcPr/>
          <w:p>
            <w:pPr>
              <w:pStyle w:val="Compact"/>
              <w:jc w:val="left"/>
            </w:pPr>
            <w:r>
              <w:t xml:space="preserve">Food Safety for Spaza Shops and Informal Traders</w:t>
            </w:r>
          </w:p>
        </w:tc>
        <w:tc>
          <w:tcPr/>
          <w:p>
            <w:pPr>
              <w:pStyle w:val="Compact"/>
              <w:jc w:val="left"/>
            </w:pPr>
            <w:r>
              <w:t xml:space="preserve">4–6 hours</w:t>
            </w:r>
          </w:p>
        </w:tc>
        <w:tc>
          <w:tcPr/>
          <w:p>
            <w:pPr>
              <w:pStyle w:val="Compact"/>
              <w:jc w:val="left"/>
            </w:pPr>
            <w:r>
              <w:t xml:space="preserve">R800</w:t>
            </w:r>
          </w:p>
        </w:tc>
        <w:tc>
          <w:tcPr/>
          <w:p>
            <w:pPr>
              <w:pStyle w:val="Compact"/>
              <w:jc w:val="left"/>
            </w:pPr>
            <w:r>
              <w:t xml:space="preserve">Spaza Shop Owners, Informal Traders, Tuck Shop Operators</w:t>
            </w:r>
          </w:p>
        </w:tc>
        <w:tc>
          <w:tcPr/>
          <w:p>
            <w:pPr>
              <w:pStyle w:val="Compact"/>
              <w:jc w:val="left"/>
            </w:pPr>
            <w:r>
              <w:t xml:space="preserve">“</w:t>
            </w:r>
            <w:r>
              <w:t xml:space="preserve">Comply with the new spaza shop regulations—simple, practical training in plain language</w:t>
            </w:r>
            <w:r>
              <w:t xml:space="preserve">”</w:t>
            </w:r>
          </w:p>
        </w:tc>
      </w:tr>
    </w:tbl>
    <w:p>
      <w:pPr>
        <w:pStyle w:val="BodyText"/>
      </w:pPr>
      <w:r>
        <w:t xml:space="preserve">The pricing architecture is deliberately tiered. At R1,600, the three premium courses match RFC’s existing R638 PIC training price and sit comfortably below Entecom’s R3,393 premium positioning</w:t>
      </w:r>
      <w:r>
        <w:t xml:space="preserve"> </w:t>
      </w:r>
      <w:fldSimple w:instr="NOTEREF _Ref_Footnote_36 \h \f">
        <w:r>
          <w:rPr>
            <w:vertAlign w:val="superscript"/>
          </w:rPr>
          <w:t>36</w:t>
        </w:r>
      </w:fldSimple>
      <w:r>
        <w:t xml:space="preserve">while maintaining distance from ASC’s aggressively discounted R879 rate, which likely operates as a loss-leader</w:t>
      </w:r>
      <w:r>
        <w:t xml:space="preserve"> </w:t>
      </w:r>
      <w:fldSimple w:instr="NOTEREF _Ref_Footnote_9 \h \f">
        <w:r>
          <w:rPr>
            <w:vertAlign w:val="superscript"/>
          </w:rPr>
          <w:t>9</w:t>
        </w:r>
      </w:fldSimple>
      <w:r>
        <w:t xml:space="preserve">. The R1,200 GMP course and R800 Spaza Shop course introduce accessible entry points that broaden RFC’s addressable market without undermining the perceived value of its flagship offerings.</w:t>
      </w:r>
    </w:p>
    <w:p>
      <w:pPr>
        <w:pStyle w:val="BodyText"/>
      </w:pPr>
      <w:r>
        <w:rPr>
          <w:bCs/>
          <w:b/>
        </w:rPr>
        <w:t xml:space="preserve">HACCP Principles and Implementation (R1,600):</w:t>
      </w:r>
      <w:r>
        <w:t xml:space="preserve"> </w:t>
      </w:r>
      <w:r>
        <w:t xml:space="preserve">This 15–20 hour comprehensive course covers all seven HACCP principles—hazard analysis, CCP identification, critical limit establishment, monitoring procedures, corrective actions, verification, and documentation—aligned with SANS 10330 and contextualised through South African case studies. HACCP represents the foundational certification upon which all advanced food safety management systems are built; it is a required prerequisite for FSSC 22000 and ISO 22000 implementation. The course concludes with a practical assignment in which learners develop a HACCP plan for their own operation, creating a direct bridge to RFC’s consulting services for businesses that identify gaps during the exercise. From a search perspective,</w:t>
      </w:r>
      <w:r>
        <w:t xml:space="preserve"> </w:t>
      </w:r>
      <w:r>
        <w:t xml:space="preserve">“</w:t>
      </w:r>
      <w:r>
        <w:t xml:space="preserve">HACCP training South Africa</w:t>
      </w:r>
      <w:r>
        <w:t xml:space="preserve">”</w:t>
      </w:r>
      <w:r>
        <w:t xml:space="preserve"> </w:t>
      </w:r>
      <w:r>
        <w:t xml:space="preserve">is one of the highest-volume commercial keywords in the sector, and RFC currently has no dedicated page targeting it</w:t>
      </w:r>
      <w:r>
        <w:t xml:space="preserve"> </w:t>
      </w:r>
      <w:fldSimple w:instr="NOTEREF _Ref_Footnote_9 \h \f">
        <w:r>
          <w:rPr>
            <w:vertAlign w:val="superscript"/>
          </w:rPr>
          <w:t>9</w:t>
        </w:r>
      </w:fldSimple>
      <w:r>
        <w:t xml:space="preserve">.</w:t>
      </w:r>
    </w:p>
    <w:p>
      <w:pPr>
        <w:pStyle w:val="BodyText"/>
      </w:pPr>
      <w:r>
        <w:rPr>
          <w:bCs/>
          <w:b/>
        </w:rPr>
        <w:t xml:space="preserve">ISO 22000 Internal Auditor Training (R1,600):</w:t>
      </w:r>
      <w:r>
        <w:t xml:space="preserve"> </w:t>
      </w:r>
      <w:r>
        <w:t xml:space="preserve">Delivered over 12–15 hours with a practical audit assignment, this course addresses a mandatory ISO 22000 requirement that creates recurring demand from certified businesses. Internal auditing is not a once-off training need—every ISO 22000 and FSSC 22000 certified organisation must maintain a programme of internal audits, typically requiring at least one trained internal auditor on staff. The course covers ISO 19011 auditing principles, audit planning, checklist development, evidence gathering, interviewing techniques, non-conformity writing, and corrective action follow-up. Learners complete a mock internal audit using provided case study materials, receiving a certificate of completion that they can present during external certification audits. This course naturally positions RFC for outsourced internal auditing contracts, where a single corporate engagement can generate revenue equivalent to dozens of individual course enrolments.</w:t>
      </w:r>
    </w:p>
    <w:p>
      <w:pPr>
        <w:pStyle w:val="BodyText"/>
      </w:pPr>
      <w:r>
        <w:rPr>
          <w:bCs/>
          <w:b/>
        </w:rPr>
        <w:t xml:space="preserve">Food Labelling Compliance: R146 &amp; R3337 (R1,600):</w:t>
      </w:r>
      <w:r>
        <w:t xml:space="preserve"> </w:t>
      </w:r>
      <w:r>
        <w:t xml:space="preserve">This 8–10 hour course targets food manufacturers, packagers, and product developers ahead of the 2026 implementation of Draft Regulation R3337, which will replace R146/2010 and introduce mandatory front-of-pack warning labels for foods high in sugar, salt, and saturated fat. The regulation transition represents a time-sensitive market window: manufacturers who understand the Nutrient Profiling Model, new allergen declaration requirements, and restrictions on child-directed marketing before the 2026 deadline will have a competitive compliance advantage. The course includes practical label review exercises and a downloadable checklist for preparing existing product labels for the transition. This offering also creates a natural pathway into RFC’s food technology consulting services, where label compliance review and reformulation advice command significantly higher fees than online training.</w:t>
      </w:r>
    </w:p>
    <w:p>
      <w:pPr>
        <w:pStyle w:val="BodyText"/>
      </w:pPr>
      <w:r>
        <w:rPr>
          <w:bCs/>
          <w:b/>
        </w:rPr>
        <w:t xml:space="preserve">GMP Implementation and Prerequisite Programmes (R1,200):</w:t>
      </w:r>
      <w:r>
        <w:t xml:space="preserve"> </w:t>
      </w:r>
      <w:r>
        <w:t xml:space="preserve">Good Manufacturing Practices form the operational foundation upon which HACCP and all certified food safety management systems rest. This 10–12 hour entry-level course has broader appeal than the advanced certifications, targeting production managers, supervisors, food handlers, and even spaza shop owners who need practical, immediately applicable guidance on personal hygiene, cleaning and sanitation, pest control, waste management, maintenance, supplier control, and storage practices. Aligned with SANS 10049 and ISO/TS 22002-1 requirements, the course includes downloadable SOP templates that learners can implement immediately. At R1,200, it sits below the premium tier while still reflecting the value of practical, template-rich training, and serves as a natural feeder course into both HACCP and the R638 PIC programme.</w:t>
      </w:r>
    </w:p>
    <w:p>
      <w:pPr>
        <w:pStyle w:val="BodyText"/>
      </w:pPr>
      <w:r>
        <w:rPr>
          <w:bCs/>
          <w:b/>
        </w:rPr>
        <w:t xml:space="preserve">Food Safety for Spaza Shops and Informal Traders (R800):</w:t>
      </w:r>
      <w:r>
        <w:t xml:space="preserve"> </w:t>
      </w:r>
      <w:r>
        <w:t xml:space="preserve">South Africa’s informal food sector encompasses an estimated 150,000+ spaza shops and township traders, a market segment that has come under intensified regulatory scrutiny following the government’s 2024 registration crackdown and the ongoing enforcement of Standard Draft By-Law requirements for township economies. This 4–6 hour course is designed specifically for this audience: it uses plain language, visual demonstrations, and practical examples relevant to small-scale operations, covering basic hygiene, stock rotation, pest control, safe food storage, cleaning practices, and municipal registration procedures. The course is designed to be multilingual-friendly, with English narration and Afrikaans and Zulu subtitles to maximise accessibility. At R800, it represents RFC’s most affordable entry point, but the addressable market size—150,000+ potential learners—creates significant revenue potential even at lower per-student margins. Furthermore, compliant spaza shops that grow into formalised operations become future clients for RFC’s higher-value consulting and certification services.</w:t>
      </w:r>
    </w:p>
    <w:bookmarkEnd w:id="121"/>
    <w:bookmarkStart w:id="122" w:name="free-mini-courses-and-webinars"/>
    <w:p>
      <w:pPr>
        <w:pStyle w:val="Heading3"/>
      </w:pPr>
      <w:r>
        <w:t xml:space="preserve">7.2 Free Mini-Courses and Webinars</w:t>
      </w:r>
    </w:p>
    <w:p>
      <w:pPr>
        <w:pStyle w:val="FirstParagraph"/>
      </w:pPr>
      <w:r>
        <w:t xml:space="preserve">Paid course expansion must be supported by a free content layer that builds trust, captures email addresses, and systematically nurtures prospects toward paid enrolments. Entecom’s content engine demonstrates the power of this approach: its library of 61+ free eBooks and 5+ webinars generates continuous organic traffic and qualified leads</w:t>
      </w:r>
      <w:r>
        <w:t xml:space="preserve"> </w:t>
      </w:r>
      <w:fldSimple w:instr="NOTEREF _Ref_Footnote_36 \h \f">
        <w:r>
          <w:rPr>
            <w:vertAlign w:val="superscript"/>
          </w:rPr>
          <w:t>36</w:t>
        </w:r>
      </w:fldSimple>
      <w:r>
        <w:t xml:space="preserve">. ASC’s free initial consultation offer and extensive blog content serve a similar funnel function</w:t>
      </w:r>
      <w:r>
        <w:t xml:space="preserve"> </w:t>
      </w:r>
      <w:fldSimple w:instr="NOTEREF _Ref_Footnote_9 \h \f">
        <w:r>
          <w:rPr>
            <w:vertAlign w:val="superscript"/>
          </w:rPr>
          <w:t>9</w:t>
        </w:r>
      </w:fldSimple>
      <w:r>
        <w:t xml:space="preserve">. RFC should implement three free offerings, each designed to feed a specific paid course or service line.</w:t>
      </w:r>
    </w:p>
    <w:p>
      <w:pPr>
        <w:pStyle w:val="BodyText"/>
      </w:pPr>
      <w:r>
        <w:t xml:space="preserve">The</w:t>
      </w:r>
      <w:r>
        <w:t xml:space="preserve"> </w:t>
      </w:r>
      <w:r>
        <w:rPr>
          <w:bCs/>
          <w:b/>
        </w:rPr>
        <w:t xml:space="preserve">monthly</w:t>
      </w:r>
      <w:r>
        <w:rPr>
          <w:bCs/>
          <w:b/>
        </w:rPr>
        <w:t xml:space="preserve"> </w:t>
      </w:r>
      <w:r>
        <w:rPr>
          <w:bCs/>
          <w:b/>
        </w:rPr>
        <w:t xml:space="preserve">“</w:t>
      </w:r>
      <w:r>
        <w:rPr>
          <w:bCs/>
          <w:b/>
        </w:rPr>
        <w:t xml:space="preserve">R638 Explained in 60 Minutes</w:t>
      </w:r>
      <w:r>
        <w:rPr>
          <w:bCs/>
          <w:b/>
        </w:rPr>
        <w:t xml:space="preserve">”</w:t>
      </w:r>
      <w:r>
        <w:rPr>
          <w:bCs/>
          <w:b/>
        </w:rPr>
        <w:t xml:space="preserve"> </w:t>
      </w:r>
      <w:r>
        <w:rPr>
          <w:bCs/>
          <w:b/>
        </w:rPr>
        <w:t xml:space="preserve">live webinar</w:t>
      </w:r>
      <w:r>
        <w:t xml:space="preserve"> </w:t>
      </w:r>
      <w:r>
        <w:t xml:space="preserve">serves as the flagship free offering. Conducted via Zoom or a similar platform and promoted through LinkedIn, Facebook, and RFC’s email list, this webinar provides a high-level overview of R638 compliance requirements, the COA application process, and the legal duties of the Person in Charge. The format is deliberately concise—sixty minutes respects busy schedules while providing genuine educational value. Each session ends with a promotional segment for the full R638 PIC training course at RFC Academy, with attendees receiving a time-limited discount code (for example, 15% off if enrolled within seven days). The recorded version of each webinar is uploaded to RFC’s YouTube channel and embedded in a blog post, creating a permanent SEO asset that continues generating leads long after the live event concludes.</w:t>
      </w:r>
    </w:p>
    <w:p>
      <w:pPr>
        <w:pStyle w:val="BodyText"/>
      </w:pPr>
      <w:r>
        <w:t xml:space="preserve">The</w:t>
      </w:r>
      <w:r>
        <w:t xml:space="preserve"> </w:t>
      </w:r>
      <w:r>
        <w:rPr>
          <w:bCs/>
          <w:b/>
        </w:rPr>
        <w:t xml:space="preserve">free 5-part email mini-course,</w:t>
      </w:r>
      <w:r>
        <w:rPr>
          <w:bCs/>
          <w:b/>
        </w:rPr>
        <w:t xml:space="preserve"> </w:t>
      </w:r>
      <w:r>
        <w:rPr>
          <w:bCs/>
          <w:b/>
        </w:rPr>
        <w:t xml:space="preserve">“</w:t>
      </w:r>
      <w:r>
        <w:rPr>
          <w:bCs/>
          <w:b/>
        </w:rPr>
        <w:t xml:space="preserve">5 Food Safety Mistakes That Will Close Your Business,</w:t>
      </w:r>
      <w:r>
        <w:rPr>
          <w:bCs/>
          <w:b/>
        </w:rPr>
        <w:t xml:space="preserve">”</w:t>
      </w:r>
      <w:r>
        <w:t xml:space="preserve"> </w:t>
      </w:r>
      <w:r>
        <w:t xml:space="preserve">operates as an automated nurture sequence triggered when prospects download any of RFC’s lead magnets (such as the R638 Compliance Checklist or COA Application Guide). Each lesson is delivered as a short video (approximately 10 minutes) embedded in an email, covering one critical mistake: temperature control failures, inadequate pest control documentation, missing supplier approval records, improper cleaning schedules, and incorrect food handler health screening. Each email concludes with a teaser connecting the lesson to the full R638 PIC course, creating a logical progression from free education to paid certification. This mini-course directly addresses the knowledge gaps that cause South African food businesses to fail municipal inspections—gaps that can result in on-the-spot closure by Environmental Health Practitioners without a court order</w:t>
      </w:r>
      <w:r>
        <w:t xml:space="preserve"> </w:t>
      </w:r>
      <w:fldSimple w:instr="NOTEREF _Ref_Footnote_39 \h \f">
        <w:r>
          <w:rPr>
            <w:vertAlign w:val="superscript"/>
          </w:rPr>
          <w:t>39</w:t>
        </w:r>
      </w:fldSimple>
      <w:r>
        <w:t xml:space="preserve">.</w:t>
      </w:r>
    </w:p>
    <w:p>
      <w:pPr>
        <w:pStyle w:val="BodyText"/>
      </w:pPr>
      <w:r>
        <w:t xml:space="preserve">The</w:t>
      </w:r>
      <w:r>
        <w:t xml:space="preserve"> </w:t>
      </w:r>
      <w:r>
        <w:rPr>
          <w:bCs/>
          <w:b/>
        </w:rPr>
        <w:t xml:space="preserve">monthly</w:t>
      </w:r>
      <w:r>
        <w:rPr>
          <w:bCs/>
          <w:b/>
        </w:rPr>
        <w:t xml:space="preserve"> </w:t>
      </w:r>
      <w:r>
        <w:rPr>
          <w:bCs/>
          <w:b/>
        </w:rPr>
        <w:t xml:space="preserve">“</w:t>
      </w:r>
      <w:r>
        <w:rPr>
          <w:bCs/>
          <w:b/>
        </w:rPr>
        <w:t xml:space="preserve">Ask the Food Safety Consultant</w:t>
      </w:r>
      <w:r>
        <w:rPr>
          <w:bCs/>
          <w:b/>
        </w:rPr>
        <w:t xml:space="preserve">”</w:t>
      </w:r>
      <w:r>
        <w:rPr>
          <w:bCs/>
          <w:b/>
        </w:rPr>
        <w:t xml:space="preserve"> </w:t>
      </w:r>
      <w:r>
        <w:rPr>
          <w:bCs/>
          <w:b/>
        </w:rPr>
        <w:t xml:space="preserve">live Q&amp;A session</w:t>
      </w:r>
      <w:r>
        <w:t xml:space="preserve"> </w:t>
      </w:r>
      <w:r>
        <w:t xml:space="preserve">builds community and trust by allowing business owners to submit questions in advance and receive answers from RFC’s consultants in real time. Held for 30–45 minutes, these sessions are promoted as informal, no-pitch opportunities to get expert guidance on any food safety topic. While the primary purpose is relationship-building, each session naturally creates opportunities to mention relevant courses and services in response to attendee questions. Recordings are posted to YouTube and transcribed into blog content, maximising the return on time invested. Over time, these sessions build a library of answered questions that reveals the exact language and concerns RFC’s target audience uses—insights that can inform future course development, blog topics, and marketing copy.</w:t>
      </w:r>
    </w:p>
    <w:bookmarkEnd w:id="122"/>
    <w:bookmarkStart w:id="123" w:name="marketing-and-partnership-strategy"/>
    <w:p>
      <w:pPr>
        <w:pStyle w:val="Heading3"/>
      </w:pPr>
      <w:r>
        <w:t xml:space="preserve">7.3 Marketing and Partnership Strategy</w:t>
      </w:r>
    </w:p>
    <w:p>
      <w:pPr>
        <w:pStyle w:val="FirstParagraph"/>
      </w:pPr>
      <w:r>
        <w:t xml:space="preserve">Course creation alone does not guarantee enrolment. RFC must deploy a multi-channel marketing strategy that leverages corporate training volumes, industry association networks, and student referrals to drive consistent, scalable student acquisition.</w:t>
      </w:r>
    </w:p>
    <w:p>
      <w:pPr>
        <w:pStyle w:val="BodyText"/>
      </w:pPr>
      <w:r>
        <w:rPr>
          <w:bCs/>
          <w:b/>
        </w:rPr>
        <w:t xml:space="preserve">Corporate training packages</w:t>
      </w:r>
      <w:r>
        <w:t xml:space="preserve"> </w:t>
      </w:r>
      <w:r>
        <w:t xml:space="preserve">address one of the most efficient revenue pathways in the South African food safety training market. Businesses enrolling multiple staff members represent higher transaction values with lower per-student acquisition costs. RFC should develop tiered corporate packages: a</w:t>
      </w:r>
      <w:r>
        <w:t xml:space="preserve"> </w:t>
      </w:r>
      <w:r>
        <w:t xml:space="preserve">“</w:t>
      </w:r>
      <w:r>
        <w:t xml:space="preserve">Team Package</w:t>
      </w:r>
      <w:r>
        <w:t xml:space="preserve">”</w:t>
      </w:r>
      <w:r>
        <w:t xml:space="preserve"> </w:t>
      </w:r>
      <w:r>
        <w:t xml:space="preserve">for 5–10 employees (with a 10% volume discount), a</w:t>
      </w:r>
      <w:r>
        <w:t xml:space="preserve"> </w:t>
      </w:r>
      <w:r>
        <w:t xml:space="preserve">“</w:t>
      </w:r>
      <w:r>
        <w:t xml:space="preserve">Department Package</w:t>
      </w:r>
      <w:r>
        <w:t xml:space="preserve">”</w:t>
      </w:r>
      <w:r>
        <w:t xml:space="preserve"> </w:t>
      </w:r>
      <w:r>
        <w:t xml:space="preserve">for 11–25 employees (15% discount), and an</w:t>
      </w:r>
      <w:r>
        <w:t xml:space="preserve"> </w:t>
      </w:r>
      <w:r>
        <w:t xml:space="preserve">“</w:t>
      </w:r>
      <w:r>
        <w:t xml:space="preserve">Enterprise Package</w:t>
      </w:r>
      <w:r>
        <w:t xml:space="preserve">”</w:t>
      </w:r>
      <w:r>
        <w:t xml:space="preserve"> </w:t>
      </w:r>
      <w:r>
        <w:t xml:space="preserve">for 26+ employees (20% discount plus a dedicated account manager and custom reporting). These packages should be marketed directly to HR managers, QA directors, and training coordinators at food manufacturers, retailers, and hospitality groups through LinkedIn outreach and targeted email campaigns. The average South African food manufacturer with ISO 22000 certification needs to train multiple internal auditors annually—corporatising this offering transforms individual course sales into predictable, recurring revenue contracts.</w:t>
      </w:r>
    </w:p>
    <w:p>
      <w:pPr>
        <w:pStyle w:val="BodyText"/>
      </w:pPr>
      <w:r>
        <w:rPr>
          <w:bCs/>
          <w:b/>
        </w:rPr>
        <w:t xml:space="preserve">Industry association partnerships</w:t>
      </w:r>
      <w:r>
        <w:t xml:space="preserve"> </w:t>
      </w:r>
      <w:r>
        <w:t xml:space="preserve">provide access to pre-qualified audiences and lend third-party credibility to RFC Academy’s offerings. FoodBev SETA, the Sector Education and Training Authority for the food and beverage industry, offers established channels for promoting accredited training to its member base</w:t>
      </w:r>
      <w:r>
        <w:t xml:space="preserve"> </w:t>
      </w:r>
      <w:fldSimple w:instr="NOTEREF _Ref_Footnote_36 \h \f">
        <w:r>
          <w:rPr>
            <w:vertAlign w:val="superscript"/>
          </w:rPr>
          <w:t>36</w:t>
        </w:r>
      </w:fldSimple>
      <w:r>
        <w:t xml:space="preserve">. SAAFoST (South African Association for Food Science &amp; Technology) provides access to a network of food science professionals who regularly require continuing education</w:t>
      </w:r>
      <w:r>
        <w:t xml:space="preserve"> </w:t>
      </w:r>
      <w:fldSimple w:instr="NOTEREF _Ref_Footnote_65 \h \f">
        <w:r>
          <w:rPr>
            <w:vertAlign w:val="superscript"/>
          </w:rPr>
          <w:t>65</w:t>
        </w:r>
      </w:fldSimple>
      <w:r>
        <w:t xml:space="preserve">. RFC should negotiate member-exclusive discount arrangements—for example, a 10% discount on all courses for members of partner associations—in exchange for inclusion in association newsletters, directory listings, and event sponsorship opportunities. These partnerships also create backlink opportunities from association websites, which typically carry high domain authority and improve RFC’s search rankings.</w:t>
      </w:r>
    </w:p>
    <w:p>
      <w:pPr>
        <w:pStyle w:val="BodyText"/>
      </w:pPr>
      <w:r>
        <w:t xml:space="preserve">The</w:t>
      </w:r>
      <w:r>
        <w:t xml:space="preserve"> </w:t>
      </w:r>
      <w:r>
        <w:rPr>
          <w:bCs/>
          <w:b/>
        </w:rPr>
        <w:t xml:space="preserve">student referral programme</w:t>
      </w:r>
      <w:r>
        <w:t xml:space="preserve"> </w:t>
      </w:r>
      <w:r>
        <w:t xml:space="preserve">converts satisfied graduates into a volunteer sales force. Existing students who refer a new paying student receive a commission—typically 10–15% of the course fee—or course credits toward future training. This model is particularly effective in the food safety sector, where QA managers, food safety officers, and production supervisors regularly change employers and bring their preferred training providers with them. A referral from a trusted colleague carries significantly more weight than a paid advertisement, and the cost per acquisition under a referral model is typically 30–50% lower than Google Ads for comparable keywords. The programme should be promoted within course completion emails, through a dedicated referral landing page, and via periodic reminders to RFC’s email list. ASC’s course bundle approach for volume discounts already demonstrates that structured pricing incentives drive enrolment behaviour in this market</w:t>
      </w:r>
      <w:r>
        <w:t xml:space="preserve"> </w:t>
      </w:r>
      <w:fldSimple w:instr="NOTEREF _Ref_Footnote_9 \h \f">
        <w:r>
          <w:rPr>
            <w:vertAlign w:val="superscript"/>
          </w:rPr>
          <w:t>9</w:t>
        </w:r>
      </w:fldSimple>
      <w:r>
        <w:t xml:space="preserve">—RFC’s referral programme extends this principle to individual learners.</w:t>
      </w:r>
    </w:p>
    <w:p>
      <w:pPr>
        <w:pStyle w:val="BodyText"/>
      </w:pPr>
      <w:r>
        <w:t xml:space="preserve">Together, these three marketing pillars—corporate packages, association partnerships, and student referrals—create a diversified acquisition engine that reduces dependence on any single channel. When combined with the five new courses and the three free content offerings outlined above, RFC Academy transforms from a three-course boutique into a comprehensive food safety education platform capable of serving learners from spaza shop owners to ISO 22000 Lead Auditors, while systematically feeding the consulting and auditing services that represent RFC’s highest-margin revenue.</w:t>
      </w:r>
      <w:r>
        <w:t xml:space="preserve"> </w:t>
      </w:r>
      <w:r>
        <w:t xml:space="preserve">-e</w:t>
      </w:r>
    </w:p>
    <w:bookmarkEnd w:id="123"/>
    <w:bookmarkEnd w:id="124"/>
    <w:bookmarkStart w:id="130" w:name="implementation-roadmap-budget-priorities"/>
    <w:p>
      <w:pPr>
        <w:pStyle w:val="Heading2"/>
      </w:pPr>
      <w:r>
        <w:t xml:space="preserve">8. Implementation Roadmap &amp; Budget Priorities</w:t>
      </w:r>
    </w:p>
    <w:p>
      <w:pPr>
        <w:pStyle w:val="FirstParagraph"/>
      </w:pPr>
      <w:r>
        <w:t xml:space="preserve">The preceding seven chapters have diagnosed RFC’s digital presence, mapped the competitive terrain, designed a content architecture, specified technical and UX improvements, created a 12-month editorial calendar, built seven lead magnets with two email nurture funnels, and laid out an academy expansion plan. This final chapter translates all of those recommendations into an execution sequence with four phases, clear timelines, and measurable targets. The guiding principle is simple: start with actions that require the least effort for the highest visible impact, then layer in the foundational systems that make sustained growth possible. RFC’s team is small, so every hour and every rand must move the business closer to overtaking ASC Food Safety Consultants as South Africa’s most visible food safety training provider</w:t>
      </w:r>
      <w:fldSimple w:instr="NOTEREF _Ref_Footnote_9 \h \f">
        <w:r>
          <w:rPr>
            <w:vertAlign w:val="superscript"/>
          </w:rPr>
          <w:t>9</w:t>
        </w:r>
      </w:fldSimple>
      <w:r>
        <w:t xml:space="preserve">.</w:t>
      </w:r>
    </w:p>
    <w:bookmarkStart w:id="125" w:name="phase-1-quick-wins-weeks-12"/>
    <w:p>
      <w:pPr>
        <w:pStyle w:val="Heading3"/>
      </w:pPr>
      <w:r>
        <w:t xml:space="preserve">8.1 Phase 1: Quick Wins (Weeks 1–2)</w:t>
      </w:r>
    </w:p>
    <w:p>
      <w:pPr>
        <w:pStyle w:val="FirstParagraph"/>
      </w:pPr>
      <w:r>
        <w:t xml:space="preserve">The first fourteen days are about visibility and conversion hygiene. These seven actions cost little or nothing, can be executed in-house or by a freelance developer within ten working days, and each one directly addresses a gap that competitors have already closed. ASC Food Safety Consultants, for instance, already maintains an optimised Google Business Profile in multiple cities, uses WhatsApp Business for instant enquiries, and places multiple CTAs on every service page</w:t>
      </w:r>
      <w:fldSimple w:instr="NOTEREF _Ref_Footnote_9 \h \f">
        <w:r>
          <w:rPr>
            <w:vertAlign w:val="superscript"/>
          </w:rPr>
          <w:t>9</w:t>
        </w:r>
      </w:fldSimple>
      <w:r>
        <w:t xml:space="preserve">. RFC cannot afford to remain unlisted while rivals capture local search intent.</w:t>
      </w:r>
    </w:p>
    <w:p>
      <w:pPr>
        <w:pStyle w:val="BodyText"/>
      </w:pPr>
      <w:r>
        <w:t xml:space="preserve">The lead magnets listed here — the R638 Compliance Checklist and the COA Application Guide — have estimated conversion rates of 15–25% and 20–30% respectively based on competitor benchmarks</w:t>
      </w:r>
      <w:fldSimple w:instr="NOTEREF _Ref_Footnote_36 \h \f">
        <w:r>
          <w:rPr>
            <w:vertAlign w:val="superscript"/>
          </w:rPr>
          <w:t>36</w:t>
        </w:r>
      </w:fldSimple>
      <w:r>
        <w:t xml:space="preserve"> </w:t>
      </w:r>
      <w:fldSimple w:instr="NOTEREF _Ref_Footnote_51 \h \f">
        <w:r>
          <w:rPr>
            <w:vertAlign w:val="superscript"/>
          </w:rPr>
          <w:t>51</w:t>
        </w:r>
      </w:fldSimple>
      <w:r>
        <w:t xml:space="preserve">. That means one in four visitors who sees the checklist offer will exchange their email address for it, creating RFC’s first proprietary audience for email nurture sequences. The directory submissions target the fifteen most visible South African business listings, from Yello and Brabys to the SAATCA provider directory, because consistent Name-Address-Phone (NAP) citations are a confirmed local ranking signal</w:t>
      </w:r>
      <w:fldSimple w:instr="NOTEREF _Ref_Footnote_9 \h \f">
        <w:r>
          <w:rPr>
            <w:vertAlign w:val="superscript"/>
          </w:rPr>
          <w:t>9</w:t>
        </w:r>
      </w:fldSimple>
      <w:r>
        <w:t xml:space="preserve">.</w:t>
      </w:r>
    </w:p>
    <w:tbl>
      <w:tblPr>
        <w:tblStyle w:val="Table"/>
        <w:tblW w:type="pct" w:w="5000"/>
        <w:tblLook w:firstRow="1" w:lastRow="0" w:firstColumn="0" w:lastColumn="0" w:noHBand="0" w:noVBand="0" w:val="0020"/>
      </w:tblPr>
      <w:tblGrid>
        <w:gridCol w:w="539"/>
        <w:gridCol w:w="3239"/>
        <w:gridCol w:w="1439"/>
        <w:gridCol w:w="1439"/>
        <w:gridCol w:w="1259"/>
      </w:tblGrid>
      <w:tr>
        <w:trPr>
          <w:tblHeader w:val="true"/>
        </w:trPr>
        <w:tc>
          <w:tcPr/>
          <w:p>
            <w:pPr>
              <w:pStyle w:val="Compact"/>
              <w:jc w:val="left"/>
            </w:pPr>
            <w:r>
              <w:t xml:space="preserve">#</w:t>
            </w:r>
          </w:p>
        </w:tc>
        <w:tc>
          <w:tcPr/>
          <w:p>
            <w:pPr>
              <w:pStyle w:val="Compact"/>
              <w:jc w:val="left"/>
            </w:pPr>
            <w:r>
              <w:t xml:space="preserve">Immediate Action</w:t>
            </w:r>
          </w:p>
        </w:tc>
        <w:tc>
          <w:tcPr/>
          <w:p>
            <w:pPr>
              <w:pStyle w:val="Compact"/>
              <w:jc w:val="left"/>
            </w:pPr>
            <w:r>
              <w:t xml:space="preserve">Impact</w:t>
            </w:r>
          </w:p>
        </w:tc>
        <w:tc>
          <w:tcPr/>
          <w:p>
            <w:pPr>
              <w:pStyle w:val="Compact"/>
              <w:jc w:val="left"/>
            </w:pPr>
            <w:r>
              <w:t xml:space="preserve">Effort</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Claim and optimise Google Business Profile (Pretoria primary; Johannesburg, Cape Town secondary)</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Admin/Owner</w:t>
            </w:r>
          </w:p>
        </w:tc>
      </w:tr>
      <w:tr>
        <w:tc>
          <w:tcPr/>
          <w:p>
            <w:pPr>
              <w:pStyle w:val="Compact"/>
              <w:jc w:val="left"/>
            </w:pPr>
            <w:r>
              <w:t xml:space="preserve">2</w:t>
            </w:r>
          </w:p>
        </w:tc>
        <w:tc>
          <w:tcPr/>
          <w:p>
            <w:pPr>
              <w:pStyle w:val="Compact"/>
              <w:jc w:val="left"/>
            </w:pPr>
            <w:r>
              <w:t xml:space="preserve">Add WhatsApp click-to-chat button on every page and course landing</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Web developer</w:t>
            </w:r>
          </w:p>
        </w:tc>
      </w:tr>
      <w:tr>
        <w:tc>
          <w:tcPr/>
          <w:p>
            <w:pPr>
              <w:pStyle w:val="Compact"/>
              <w:jc w:val="left"/>
            </w:pPr>
            <w:r>
              <w:t xml:space="preserve">3</w:t>
            </w:r>
          </w:p>
        </w:tc>
        <w:tc>
          <w:tcPr/>
          <w:p>
            <w:pPr>
              <w:pStyle w:val="Compact"/>
              <w:jc w:val="left"/>
            </w:pPr>
            <w:r>
              <w:t xml:space="preserve">Publish two lead magnets: R638 Compliance Checklist (PDF) and COA Application Guide (PDF)</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Consultant/Designer</w:t>
            </w:r>
          </w:p>
        </w:tc>
      </w:tr>
      <w:tr>
        <w:tc>
          <w:tcPr/>
          <w:p>
            <w:pPr>
              <w:pStyle w:val="Compact"/>
              <w:jc w:val="left"/>
            </w:pPr>
            <w:r>
              <w:t xml:space="preserve">4</w:t>
            </w:r>
          </w:p>
        </w:tc>
        <w:tc>
          <w:tcPr/>
          <w:p>
            <w:pPr>
              <w:pStyle w:val="Compact"/>
              <w:jc w:val="left"/>
            </w:pPr>
            <w:r>
              <w:t xml:space="preserve">Add CTA buttons to all five core service pages (Training, Consulting, Auditing, Academy, Contact)</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Web developer</w:t>
            </w:r>
          </w:p>
        </w:tc>
      </w:tr>
      <w:tr>
        <w:tc>
          <w:tcPr/>
          <w:p>
            <w:pPr>
              <w:pStyle w:val="Compact"/>
              <w:jc w:val="left"/>
            </w:pPr>
            <w:r>
              <w:t xml:space="preserve">5</w:t>
            </w:r>
          </w:p>
        </w:tc>
        <w:tc>
          <w:tcPr/>
          <w:p>
            <w:pPr>
              <w:pStyle w:val="Compact"/>
              <w:jc w:val="left"/>
            </w:pPr>
            <w:r>
              <w:t xml:space="preserve">Rewrite page titles and meta descriptions for all indexed pages (target: 50–160 characters with primary keyword + location)</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Copywriter</w:t>
            </w:r>
          </w:p>
        </w:tc>
      </w:tr>
      <w:tr>
        <w:tc>
          <w:tcPr/>
          <w:p>
            <w:pPr>
              <w:pStyle w:val="Compact"/>
              <w:jc w:val="left"/>
            </w:pPr>
            <w:r>
              <w:t xml:space="preserve">6</w:t>
            </w:r>
          </w:p>
        </w:tc>
        <w:tc>
          <w:tcPr/>
          <w:p>
            <w:pPr>
              <w:pStyle w:val="Compact"/>
              <w:jc w:val="left"/>
            </w:pPr>
            <w:r>
              <w:t xml:space="preserve">Add FAQ sections with FAQPage schema to top five service pages</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Copywriter/Developer</w:t>
            </w:r>
          </w:p>
        </w:tc>
      </w:tr>
      <w:tr>
        <w:tc>
          <w:tcPr/>
          <w:p>
            <w:pPr>
              <w:pStyle w:val="Compact"/>
              <w:jc w:val="left"/>
            </w:pPr>
            <w:r>
              <w:t xml:space="preserve">7</w:t>
            </w:r>
          </w:p>
        </w:tc>
        <w:tc>
          <w:tcPr/>
          <w:p>
            <w:pPr>
              <w:pStyle w:val="Compact"/>
              <w:jc w:val="left"/>
            </w:pPr>
            <w:r>
              <w:t xml:space="preserve">Submit RFC to five priority SA directories: Yello, Brabys, Hotfrog, SA Yellow, SAATCA provider list</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Admin</w:t>
            </w:r>
          </w:p>
        </w:tc>
      </w:tr>
    </w:tbl>
    <w:p>
      <w:pPr>
        <w:pStyle w:val="BodyText"/>
      </w:pPr>
      <w:r>
        <w:t xml:space="preserve">The cumulative effect of these seven actions is outsized relative to their cost. The Google Business Profile alone can generate 30–50% of local organic impressions for a service-area business within the first month of optimisation</w:t>
      </w:r>
      <w:fldSimple w:instr="NOTEREF _Ref_Footnote_9 \h \f">
        <w:r>
          <w:rPr>
            <w:vertAlign w:val="superscript"/>
          </w:rPr>
          <w:t>9</w:t>
        </w:r>
      </w:fldSimple>
      <w:r>
        <w:t xml:space="preserve">. Adding WhatsApp Business aligns with South African consumer behaviour — WhatsApp boasts the highest engagement rate of any channel in the country, and Shilux has already demonstrated that click-to-WhatsApp drives measurable enquiry volume</w:t>
      </w:r>
      <w:fldSimple w:instr="NOTEREF _Ref_Footnote_23 \h \f">
        <w:r>
          <w:rPr>
            <w:vertAlign w:val="superscript"/>
          </w:rPr>
          <w:t>23</w:t>
        </w:r>
      </w:fldSimple>
      <w:r>
        <w:t xml:space="preserve">. The two lead magnets, hosted on simple landing pages with email capture, create the first entry points for the R638/COA and HACCP/FSSC email funnels detailed in Chapter 6. FAQ schema markup enables rich snippets in search results, which can lift click-through rates by 15–30% even without a ranking change</w:t>
      </w:r>
      <w:fldSimple w:instr="NOTEREF _Ref_Footnote_36 \h \f">
        <w:r>
          <w:rPr>
            <w:vertAlign w:val="superscript"/>
          </w:rPr>
          <w:t>36</w:t>
        </w:r>
      </w:fldSimple>
      <w:r>
        <w:t xml:space="preserve">.</w:t>
      </w:r>
    </w:p>
    <w:bookmarkEnd w:id="125"/>
    <w:bookmarkStart w:id="126" w:name="phase-2-foundation-building-months-12"/>
    <w:p>
      <w:pPr>
        <w:pStyle w:val="Heading3"/>
      </w:pPr>
      <w:r>
        <w:t xml:space="preserve">8.2 Phase 2: Foundation Building (Months 1–2)</w:t>
      </w:r>
    </w:p>
    <w:p>
      <w:pPr>
        <w:pStyle w:val="FirstParagraph"/>
      </w:pPr>
      <w:r>
        <w:t xml:space="preserve">With quick wins deployed, the focus shifts to building the infrastructure that powers every subsequent phase. The three workstreams — content, technical SEO, and academy expansion — run in parallel and require approximately R15,000–R25,000 in external spend if outsourced, or roughly sixty hours of internal labour if handled by RFC’s team with freelance support.</w:t>
      </w:r>
    </w:p>
    <w:p>
      <w:pPr>
        <w:pStyle w:val="BodyText"/>
      </w:pPr>
      <w:r>
        <w:rPr>
          <w:bCs/>
          <w:b/>
        </w:rPr>
        <w:t xml:space="preserve">Content and Local SEO.</w:t>
      </w:r>
      <w:r>
        <w:t xml:space="preserve"> </w:t>
      </w:r>
      <w:r>
        <w:t xml:space="preserve">The blog launches on rfcsa.co.za with four pillar articles drawn from the content clusters identified in Chapter 5: the complete COA guide (Pillar 1: R638 &amp; COA), the HACCP certification comparison (Pillar 2), the FSSC 22000 V7 transition guide (Pillar 3), and the spaza shop compliance guide (Pillar 4). Each article targets 1,500–2,500 words, includes the primary keyword in the first 100 words and at least one H2 heading, and links internally to relevant service and course pages</w:t>
      </w:r>
      <w:fldSimple w:instr="NOTEREF _Ref_Footnote_9 \h \f">
        <w:r>
          <w:rPr>
            <w:vertAlign w:val="superscript"/>
          </w:rPr>
          <w:t>9</w:t>
        </w:r>
      </w:fldSimple>
      <w:r>
        <w:t xml:space="preserve">. Simultaneously, RFC creates dedicated city landing pages for Pretoria and Johannesburg — the two highest-volume local markets — following the template structure specified in Chapter 4. These pages use the format</w:t>
      </w:r>
      <w:r>
        <w:t xml:space="preserve"> </w:t>
      </w:r>
      <w:r>
        <w:t xml:space="preserve">“</w:t>
      </w:r>
      <w:r>
        <w:t xml:space="preserve">[Service] | [City] | RFC</w:t>
      </w:r>
      <w:r>
        <w:t xml:space="preserve">”</w:t>
      </w:r>
      <w:r>
        <w:t xml:space="preserve"> </w:t>
      </w:r>
      <w:r>
        <w:t xml:space="preserve">for title tags and include embedded Google Maps, local business schema, and city-specific COA process notes.</w:t>
      </w:r>
    </w:p>
    <w:p>
      <w:pPr>
        <w:pStyle w:val="BodyText"/>
      </w:pPr>
      <w:r>
        <w:rPr>
          <w:bCs/>
          <w:b/>
        </w:rPr>
        <w:t xml:space="preserve">Technical SEO and Tracking.</w:t>
      </w:r>
      <w:r>
        <w:t xml:space="preserve"> </w:t>
      </w:r>
      <w:r>
        <w:t xml:space="preserve">Schema markup deployment covers LocalBusiness, Course, FAQPage, Article, Service, and Review schemas across both domains</w:t>
      </w:r>
      <w:fldSimple w:instr="NOTEREF _Ref_Footnote_9 \h \f">
        <w:r>
          <w:rPr>
            <w:vertAlign w:val="superscript"/>
          </w:rPr>
          <w:t>9</w:t>
        </w:r>
      </w:fldSimple>
      <w:r>
        <w:t xml:space="preserve">. Mobile-responsive fixes address the critical finding from Chapter 4 that rfcsa.co.za is not currently mobile-optimised; the target is sub-three-second load time on 4G, achievable through image compression (WebP format), CSS/JS minification, browser caching, and lazy loading</w:t>
      </w:r>
      <w:fldSimple w:instr="NOTEREF _Ref_Footnote_9 \h \f">
        <w:r>
          <w:rPr>
            <w:vertAlign w:val="superscript"/>
          </w:rPr>
          <w:t>9</w:t>
        </w:r>
      </w:fldSimple>
      <w:r>
        <w:t xml:space="preserve">. Google Analytics 4 and Search Console are configured with conversion events for lead magnet downloads, course enrolment clicks, and WhatsApp chat initiations — without this tracking, no future optimisation can be data-driven.</w:t>
      </w:r>
    </w:p>
    <w:p>
      <w:pPr>
        <w:pStyle w:val="BodyText"/>
      </w:pPr>
      <w:r>
        <w:rPr>
          <w:bCs/>
          <w:b/>
        </w:rPr>
        <w:t xml:space="preserve">Email Marketing and Academy.</w:t>
      </w:r>
      <w:r>
        <w:t xml:space="preserve"> </w:t>
      </w:r>
      <w:r>
        <w:t xml:space="preserve">Mailchimp or Brevo is configured with the first automated email funnel (the R638/COA six-sequence nurture) and a newsletter signup form placed in the blog sidebar and footer. The RFC Academy expands from three courses to six by launching HACCP Principles and Implementation, ISO 22000 Internal Auditor Training, and Food Labelling Compliance (R146 &amp; R3337)</w:t>
      </w:r>
      <w:fldSimple w:instr="NOTEREF _Ref_Footnote_9 \h \f">
        <w:r>
          <w:rPr>
            <w:vertAlign w:val="superscript"/>
          </w:rPr>
          <w:t>9</w:t>
        </w:r>
      </w:fldSimple>
      <w:r>
        <w:t xml:space="preserve">. This closes the gap against ASC’s 65-plus course catalogue and gives each blog pillar a corresponding paid course to promote</w:t>
      </w:r>
      <w:fldSimple w:instr="NOTEREF _Ref_Footnote_9 \h \f">
        <w:r>
          <w:rPr>
            <w:vertAlign w:val="superscript"/>
          </w:rPr>
          <w:t>9</w:t>
        </w:r>
      </w:fldSimple>
      <w:r>
        <w:t xml:space="preserve">.</w:t>
      </w:r>
    </w:p>
    <w:bookmarkEnd w:id="126"/>
    <w:bookmarkStart w:id="127" w:name="phase-3-content-engine-months-36"/>
    <w:p>
      <w:pPr>
        <w:pStyle w:val="Heading3"/>
      </w:pPr>
      <w:r>
        <w:t xml:space="preserve">8.3 Phase 3: Content Engine (Months 3–6)</w:t>
      </w:r>
    </w:p>
    <w:p>
      <w:pPr>
        <w:pStyle w:val="FirstParagraph"/>
      </w:pPr>
      <w:r>
        <w:t xml:space="preserve">Months three through six are where momentum compounds. The blog publishes two to four posts per month — drawn from the twelve-month calendar in Chapter 5 — and each post is repurposed into at least eight social media pieces following the blog-to-social framework: LinkedIn article share, carousel post, poll, Facebook long post, graphic post, video summary, Instagram story, and newsletter feature</w:t>
      </w:r>
      <w:fldSimple w:instr="NOTEREF _Ref_Footnote_9 \h \f">
        <w:r>
          <w:rPr>
            <w:vertAlign w:val="superscript"/>
          </w:rPr>
          <w:t>9</w:t>
        </w:r>
      </w:fldSimple>
      <w:r>
        <w:t xml:space="preserve">. Consistency matters more than perfection; Entecom’s Guidance Hub drives significant organic traffic because it publishes regularly across formats (46-plus articles, 61-plus eBooks, 11-plus podcasts)</w:t>
      </w:r>
      <w:fldSimple w:instr="NOTEREF _Ref_Footnote_36 \h \f">
        <w:r>
          <w:rPr>
            <w:vertAlign w:val="superscript"/>
          </w:rPr>
          <w:t>36</w:t>
        </w:r>
      </w:fldSimple>
      <w:r>
        <w:t xml:space="preserve">. RFC must match that rhythm.</w:t>
      </w:r>
    </w:p>
    <w:p>
      <w:pPr>
        <w:pStyle w:val="BodyText"/>
      </w:pPr>
      <w:r>
        <w:t xml:space="preserve">Backlink acquisition targets ten or more referring domains in this phase. Priority sources include guest posts on Bizcommunity, Food &amp; Beverage Reporter, and Food For Mzansi; inclusion in the FoodBev SETA and SAAFoST provider directories; and the release of the first linkable asset — either the interactive South African Food Safety Regulatory Map or the R638 Compliance Toolkit with 40-plus templates</w:t>
      </w:r>
      <w:fldSimple w:instr="NOTEREF _Ref_Footnote_9 \h \f">
        <w:r>
          <w:rPr>
            <w:vertAlign w:val="superscript"/>
          </w:rPr>
          <w:t>9</w:t>
        </w:r>
      </w:fldSimple>
      <w:r>
        <w:t xml:space="preserve">. These assets are designed to attract links from SME support organisations, municipal Environmental Health Departments, and entrepreneur forums that no competitor currently serves with embeddable resources</w:t>
      </w:r>
      <w:fldSimple w:instr="NOTEREF _Ref_Footnote_9 \h \f">
        <w:r>
          <w:rPr>
            <w:vertAlign w:val="superscript"/>
          </w:rPr>
          <w:t>9</w:t>
        </w:r>
      </w:fldSimple>
      <w:r>
        <w:t xml:space="preserve">.</w:t>
      </w:r>
    </w:p>
    <w:p>
      <w:pPr>
        <w:pStyle w:val="BodyText"/>
      </w:pPr>
      <w:r>
        <w:t xml:space="preserve">Google Ads campaigns launch in month four, targeting high-intent commercial keywords:</w:t>
      </w:r>
      <w:r>
        <w:t xml:space="preserve"> </w:t>
      </w:r>
      <w:r>
        <w:t xml:space="preserve">“</w:t>
      </w:r>
      <w:r>
        <w:t xml:space="preserve">R638 training,</w:t>
      </w:r>
      <w:r>
        <w:t xml:space="preserve">”</w:t>
      </w:r>
      <w:r>
        <w:t xml:space="preserve"> </w:t>
      </w:r>
      <w:r>
        <w:t xml:space="preserve">“</w:t>
      </w:r>
      <w:r>
        <w:t xml:space="preserve">HACCP training Pretoria,</w:t>
      </w:r>
      <w:r>
        <w:t xml:space="preserve">”</w:t>
      </w:r>
      <w:r>
        <w:t xml:space="preserve"> </w:t>
      </w:r>
      <w:r>
        <w:t xml:space="preserve">“</w:t>
      </w:r>
      <w:r>
        <w:t xml:space="preserve">food safety consultant Johannesburg,</w:t>
      </w:r>
      <w:r>
        <w:t xml:space="preserve">”</w:t>
      </w:r>
      <w:r>
        <w:t xml:space="preserve"> </w:t>
      </w:r>
      <w:r>
        <w:t xml:space="preserve">and</w:t>
      </w:r>
      <w:r>
        <w:t xml:space="preserve"> </w:t>
      </w:r>
      <w:r>
        <w:t xml:space="preserve">“</w:t>
      </w:r>
      <w:r>
        <w:t xml:space="preserve">Certificate of Acceptability South Africa.</w:t>
      </w:r>
      <w:r>
        <w:t xml:space="preserve">”</w:t>
      </w:r>
      <w:r>
        <w:t xml:space="preserve"> </w:t>
      </w:r>
      <w:r>
        <w:t xml:space="preserve">Daily budgets start at R200–R300 with single-keyword ad groups and dedicated landing pages for each ad theme, ensuring Quality Scores above 7 and cost-per-click below R15 for long-tail variants</w:t>
      </w:r>
      <w:fldSimple w:instr="NOTEREF _Ref_Footnote_9 \h \f">
        <w:r>
          <w:rPr>
            <w:vertAlign w:val="superscript"/>
          </w:rPr>
          <w:t>9</w:t>
        </w:r>
      </w:fldSimple>
      <w:r>
        <w:t xml:space="preserve">. Video content production begins in month five with the</w:t>
      </w:r>
      <w:r>
        <w:t xml:space="preserve"> </w:t>
      </w:r>
      <w:r>
        <w:t xml:space="preserve">“</w:t>
      </w:r>
      <w:r>
        <w:t xml:space="preserve">60-Second R638 Explainer</w:t>
      </w:r>
      <w:r>
        <w:t xml:space="preserve">”</w:t>
      </w:r>
      <w:r>
        <w:t xml:space="preserve"> </w:t>
      </w:r>
      <w:r>
        <w:t xml:space="preserve">series and</w:t>
      </w:r>
      <w:r>
        <w:t xml:space="preserve"> </w:t>
      </w:r>
      <w:r>
        <w:t xml:space="preserve">“</w:t>
      </w:r>
      <w:r>
        <w:t xml:space="preserve">Ask the Auditor</w:t>
      </w:r>
      <w:r>
        <w:t xml:space="preserve">”</w:t>
      </w:r>
      <w:r>
        <w:t xml:space="preserve"> </w:t>
      </w:r>
      <w:r>
        <w:t xml:space="preserve">formats, distributed on LinkedIn, Facebook, and a new YouTube channel. The free Food Safety Compliance Self-Assessment tool — a ten-question online quiz that generates a personalised PDF report — launches in month six, creating a high-conversion lead magnet that doubles as a linkable asset</w:t>
      </w:r>
      <w:fldSimple w:instr="NOTEREF _Ref_Footnote_9 \h \f">
        <w:r>
          <w:rPr>
            <w:vertAlign w:val="superscript"/>
          </w:rPr>
          <w:t>9</w:t>
        </w:r>
      </w:fldSimple>
      <w:r>
        <w:t xml:space="preserve">.</w:t>
      </w:r>
    </w:p>
    <w:bookmarkEnd w:id="127"/>
    <w:bookmarkStart w:id="128" w:name="phase-4-growth-optimisation-months-612"/>
    <w:p>
      <w:pPr>
        <w:pStyle w:val="Heading3"/>
      </w:pPr>
      <w:r>
        <w:t xml:space="preserve">8.4 Phase 4: Growth &amp; Optimisation (Months 6–12)</w:t>
      </w:r>
    </w:p>
    <w:p>
      <w:pPr>
        <w:pStyle w:val="FirstParagraph"/>
      </w:pPr>
      <w:r>
        <w:t xml:space="preserve">The second half of Year 1 shifts from building to scaling. The primary SEO objective is achieving the number one ranking for</w:t>
      </w:r>
      <w:r>
        <w:t xml:space="preserve"> </w:t>
      </w:r>
      <w:r>
        <w:t xml:space="preserve">“</w:t>
      </w:r>
      <w:r>
        <w:t xml:space="preserve">R638 training</w:t>
      </w:r>
      <w:r>
        <w:t xml:space="preserve">”</w:t>
      </w:r>
      <w:r>
        <w:t xml:space="preserve"> </w:t>
      </w:r>
      <w:r>
        <w:t xml:space="preserve">— South Africa’s most contested food safety keyword with 400–800 monthly searches</w:t>
      </w:r>
      <w:fldSimple w:instr="NOTEREF _Ref_Footnote_9 \h \f">
        <w:r>
          <w:rPr>
            <w:vertAlign w:val="superscript"/>
          </w:rPr>
          <w:t>9</w:t>
        </w:r>
      </w:fldSimple>
      <w:r>
        <w:t xml:space="preserve">. This requires sustained content depth (the R638 pillar page and its cluster articles must exceed 10,000 combined words), backlink velocity (target: 50-plus referring domains by month twelve), and user engagement signals (time on page, low bounce rate, high click-through rate from search results).</w:t>
      </w:r>
    </w:p>
    <w:p>
      <w:pPr>
        <w:pStyle w:val="BodyText"/>
      </w:pPr>
      <w:r>
        <w:t xml:space="preserve">The backlink target of 50-plus referring domains is achievable through the phased release of all five linkable assets: the Compliance Guide white paper, the Regulatory Map infographic, the 40-template Toolkit, the State of Compliance survey report, and the Self-Assessment tool</w:t>
      </w:r>
      <w:fldSimple w:instr="NOTEREF _Ref_Footnote_9 \h \f">
        <w:r>
          <w:rPr>
            <w:vertAlign w:val="superscript"/>
          </w:rPr>
          <w:t>9</w:t>
        </w:r>
      </w:fldSimple>
      <w:r>
        <w:t xml:space="preserve">. Each asset is pitched to a distinct set of link prospects — industry associations for the white paper, municipal websites for the Regulatory Map, SME directories for the Toolkit, and journalists for the survey report.</w:t>
      </w:r>
    </w:p>
    <w:p>
      <w:pPr>
        <w:pStyle w:val="BodyText"/>
      </w:pPr>
      <w:r>
        <w:t xml:space="preserve">An automated webinar funnel launches in month eight. The monthly</w:t>
      </w:r>
      <w:r>
        <w:t xml:space="preserve"> </w:t>
      </w:r>
      <w:r>
        <w:t xml:space="preserve">“</w:t>
      </w:r>
      <w:r>
        <w:t xml:space="preserve">R638 Explained in 60 Minutes</w:t>
      </w:r>
      <w:r>
        <w:t xml:space="preserve">”</w:t>
      </w:r>
      <w:r>
        <w:t xml:space="preserve"> </w:t>
      </w:r>
      <w:r>
        <w:t xml:space="preserve">webinar, promoted through Facebook and LinkedIn event ads, delivers a live training preview followed by a limited-time course discount code. The evergreen recording becomes a perpetual lead generation asset on the blog and YouTube channel</w:t>
      </w:r>
      <w:fldSimple w:instr="NOTEREF _Ref_Footnote_9 \h \f">
        <w:r>
          <w:rPr>
            <w:vertAlign w:val="superscript"/>
          </w:rPr>
          <w:t>9</w:t>
        </w:r>
      </w:fldSimple>
      <w:r>
        <w:t xml:space="preserve">. Adjacent market exploration begins in month ten with a feasibility assessment for Zimbabwe, Namibia, and Botswana, where South African food safety standards are increasingly adopted but local training provision is sparse. By month twelve, RFC should have sufficient data from its analytics, email platform, and Search Console to construct a detailed Year 2 strategy that includes premium content offers (a potential membership or subscription model, following Entecom’s Small Supplier Compliance Programme model</w:t>
      </w:r>
      <w:fldSimple w:instr="NOTEREF _Ref_Footnote_36 \h \f">
        <w:r>
          <w:rPr>
            <w:vertAlign w:val="superscript"/>
          </w:rPr>
          <w:t>36</w:t>
        </w:r>
      </w:fldSimple>
      <w:r>
        <w:t xml:space="preserve">) and course catalogue expansion beyond the initial six.</w:t>
      </w:r>
    </w:p>
    <w:bookmarkEnd w:id="128"/>
    <w:bookmarkStart w:id="129" w:name="key-performance-indicators"/>
    <w:p>
      <w:pPr>
        <w:pStyle w:val="Heading3"/>
      </w:pPr>
      <w:r>
        <w:t xml:space="preserve">8.5 Key Performance Indicators</w:t>
      </w:r>
    </w:p>
    <w:p>
      <w:pPr>
        <w:pStyle w:val="FirstParagraph"/>
      </w:pPr>
      <w:r>
        <w:t xml:space="preserve">The ten KPIs below connect every phase to a measurable outcome. Targets at month six reflect the point at which the content engine should be generating consistent organic traffic and qualified leads. Targets at month twelve represent the threshold at which RFC has established a sustainable, data-driven growth system capable of competing with ASC Food Safety Consultants for search dominance</w:t>
      </w:r>
      <w:fldSimple w:instr="NOTEREF _Ref_Footnote_9 \h \f">
        <w:r>
          <w:rPr>
            <w:vertAlign w:val="superscript"/>
          </w:rPr>
          <w:t>9</w:t>
        </w:r>
      </w:fldSimple>
      <w:r>
        <w:t xml:space="preserve">.</w:t>
      </w:r>
    </w:p>
    <w:tbl>
      <w:tblPr>
        <w:tblStyle w:val="Table"/>
        <w:tblW w:type="pct" w:w="5000"/>
        <w:tblLook w:firstRow="1" w:lastRow="0" w:firstColumn="0" w:lastColumn="0" w:noHBand="0" w:noVBand="0" w:val="0020"/>
      </w:tblPr>
      <w:tblGrid>
        <w:gridCol w:w="528"/>
        <w:gridCol w:w="2006"/>
        <w:gridCol w:w="1689"/>
        <w:gridCol w:w="1795"/>
        <w:gridCol w:w="1900"/>
      </w:tblGrid>
      <w:tr>
        <w:trPr>
          <w:tblHeader w:val="true"/>
        </w:trPr>
        <w:tc>
          <w:tcPr/>
          <w:p>
            <w:pPr>
              <w:pStyle w:val="Compact"/>
              <w:jc w:val="left"/>
            </w:pPr>
            <w:r>
              <w:t xml:space="preserve">KPI</w:t>
            </w:r>
          </w:p>
        </w:tc>
        <w:tc>
          <w:tcPr/>
          <w:p>
            <w:pPr>
              <w:pStyle w:val="Compact"/>
              <w:jc w:val="left"/>
            </w:pPr>
            <w:r>
              <w:t xml:space="preserve">Baseline (Month 0)</w:t>
            </w:r>
          </w:p>
        </w:tc>
        <w:tc>
          <w:tcPr/>
          <w:p>
            <w:pPr>
              <w:pStyle w:val="Compact"/>
              <w:jc w:val="left"/>
            </w:pPr>
            <w:r>
              <w:t xml:space="preserve">Month 6 Target</w:t>
            </w:r>
          </w:p>
        </w:tc>
        <w:tc>
          <w:tcPr/>
          <w:p>
            <w:pPr>
              <w:pStyle w:val="Compact"/>
              <w:jc w:val="left"/>
            </w:pPr>
            <w:r>
              <w:t xml:space="preserve">Month 12 Target</w:t>
            </w:r>
          </w:p>
        </w:tc>
        <w:tc>
          <w:tcPr/>
          <w:p>
            <w:pPr>
              <w:pStyle w:val="Compact"/>
              <w:jc w:val="left"/>
            </w:pPr>
            <w:r>
              <w:t xml:space="preserve">Measurement Tool</w:t>
            </w:r>
          </w:p>
        </w:tc>
      </w:tr>
      <w:tr>
        <w:tc>
          <w:tcPr/>
          <w:p>
            <w:pPr>
              <w:pStyle w:val="Compact"/>
              <w:jc w:val="left"/>
            </w:pPr>
            <w:r>
              <w:t xml:space="preserve">Organic monthly sessions (rfcsa.co.za)</w:t>
            </w:r>
          </w:p>
        </w:tc>
        <w:tc>
          <w:tcPr/>
          <w:p>
            <w:pPr>
              <w:pStyle w:val="Compact"/>
              <w:jc w:val="left"/>
            </w:pPr>
            <w:r>
              <w:t xml:space="preserve">0–50</w:t>
            </w:r>
          </w:p>
        </w:tc>
        <w:tc>
          <w:tcPr/>
          <w:p>
            <w:pPr>
              <w:pStyle w:val="Compact"/>
              <w:jc w:val="left"/>
            </w:pPr>
            <w:r>
              <w:t xml:space="preserve">800–1,200</w:t>
            </w:r>
          </w:p>
        </w:tc>
        <w:tc>
          <w:tcPr/>
          <w:p>
            <w:pPr>
              <w:pStyle w:val="Compact"/>
              <w:jc w:val="left"/>
            </w:pPr>
            <w:r>
              <w:t xml:space="preserve">3,000–5,000</w:t>
            </w:r>
          </w:p>
        </w:tc>
        <w:tc>
          <w:tcPr/>
          <w:p>
            <w:pPr>
              <w:pStyle w:val="Compact"/>
              <w:jc w:val="left"/>
            </w:pPr>
            <w:r>
              <w:t xml:space="preserve">Google Analytics 4</w:t>
            </w:r>
          </w:p>
        </w:tc>
      </w:tr>
      <w:tr>
        <w:tc>
          <w:tcPr/>
          <w:p>
            <w:pPr>
              <w:pStyle w:val="Compact"/>
              <w:jc w:val="left"/>
            </w:pPr>
            <w:r>
              <w:t xml:space="preserve">Email subscribers (all lists)</w:t>
            </w:r>
          </w:p>
        </w:tc>
        <w:tc>
          <w:tcPr/>
          <w:p>
            <w:pPr>
              <w:pStyle w:val="Compact"/>
              <w:jc w:val="left"/>
            </w:pPr>
            <w:r>
              <w:t xml:space="preserve">0</w:t>
            </w:r>
          </w:p>
        </w:tc>
        <w:tc>
          <w:tcPr/>
          <w:p>
            <w:pPr>
              <w:pStyle w:val="Compact"/>
              <w:jc w:val="left"/>
            </w:pPr>
            <w:r>
              <w:t xml:space="preserve">300–500</w:t>
            </w:r>
          </w:p>
        </w:tc>
        <w:tc>
          <w:tcPr/>
          <w:p>
            <w:pPr>
              <w:pStyle w:val="Compact"/>
              <w:jc w:val="left"/>
            </w:pPr>
            <w:r>
              <w:t xml:space="preserve">1,000–1,500</w:t>
            </w:r>
          </w:p>
        </w:tc>
        <w:tc>
          <w:tcPr/>
          <w:p>
            <w:pPr>
              <w:pStyle w:val="Compact"/>
              <w:jc w:val="left"/>
            </w:pPr>
            <w:r>
              <w:t xml:space="preserve">Mailchimp/Brevo</w:t>
            </w:r>
          </w:p>
        </w:tc>
      </w:tr>
      <w:tr>
        <w:tc>
          <w:tcPr/>
          <w:p>
            <w:pPr>
              <w:pStyle w:val="Compact"/>
              <w:jc w:val="left"/>
            </w:pPr>
            <w:r>
              <w:t xml:space="preserve">Lead magnet downloads (cumulative)</w:t>
            </w:r>
          </w:p>
        </w:tc>
        <w:tc>
          <w:tcPr/>
          <w:p>
            <w:pPr>
              <w:pStyle w:val="Compact"/>
              <w:jc w:val="left"/>
            </w:pPr>
            <w:r>
              <w:t xml:space="preserve">0</w:t>
            </w:r>
          </w:p>
        </w:tc>
        <w:tc>
          <w:tcPr/>
          <w:p>
            <w:pPr>
              <w:pStyle w:val="Compact"/>
              <w:jc w:val="left"/>
            </w:pPr>
            <w:r>
              <w:t xml:space="preserve">150–250</w:t>
            </w:r>
          </w:p>
        </w:tc>
        <w:tc>
          <w:tcPr/>
          <w:p>
            <w:pPr>
              <w:pStyle w:val="Compact"/>
              <w:jc w:val="left"/>
            </w:pPr>
            <w:r>
              <w:t xml:space="preserve">500–750</w:t>
            </w:r>
          </w:p>
        </w:tc>
        <w:tc>
          <w:tcPr/>
          <w:p>
            <w:pPr>
              <w:pStyle w:val="Compact"/>
              <w:jc w:val="left"/>
            </w:pPr>
            <w:r>
              <w:t xml:space="preserve">Landing page analytics</w:t>
            </w:r>
          </w:p>
        </w:tc>
      </w:tr>
      <w:tr>
        <w:tc>
          <w:tcPr/>
          <w:p>
            <w:pPr>
              <w:pStyle w:val="Compact"/>
              <w:jc w:val="left"/>
            </w:pPr>
            <w:r>
              <w:t xml:space="preserve">RFC Academy course enrolments (monthly)</w:t>
            </w:r>
          </w:p>
        </w:tc>
        <w:tc>
          <w:tcPr/>
          <w:p>
            <w:pPr>
              <w:pStyle w:val="Compact"/>
              <w:jc w:val="left"/>
            </w:pPr>
            <w:r>
              <w:t xml:space="preserve">&lt;5</w:t>
            </w:r>
          </w:p>
        </w:tc>
        <w:tc>
          <w:tcPr/>
          <w:p>
            <w:pPr>
              <w:pStyle w:val="Compact"/>
              <w:jc w:val="left"/>
            </w:pPr>
            <w:r>
              <w:t xml:space="preserve">15–25</w:t>
            </w:r>
          </w:p>
        </w:tc>
        <w:tc>
          <w:tcPr/>
          <w:p>
            <w:pPr>
              <w:pStyle w:val="Compact"/>
              <w:jc w:val="left"/>
            </w:pPr>
            <w:r>
              <w:t xml:space="preserve">40–60</w:t>
            </w:r>
          </w:p>
        </w:tc>
        <w:tc>
          <w:tcPr/>
          <w:p>
            <w:pPr>
              <w:pStyle w:val="Compact"/>
              <w:jc w:val="left"/>
            </w:pPr>
            <w:r>
              <w:t xml:space="preserve">Academy platform</w:t>
            </w:r>
          </w:p>
        </w:tc>
      </w:tr>
      <w:tr>
        <w:tc>
          <w:tcPr/>
          <w:p>
            <w:pPr>
              <w:pStyle w:val="Compact"/>
              <w:jc w:val="left"/>
            </w:pPr>
            <w:r>
              <w:t xml:space="preserve">“</w:t>
            </w:r>
            <w:r>
              <w:t xml:space="preserve">R638 training</w:t>
            </w:r>
            <w:r>
              <w:t xml:space="preserve">”</w:t>
            </w:r>
            <w:r>
              <w:t xml:space="preserve"> </w:t>
            </w:r>
            <w:r>
              <w:t xml:space="preserve">keyword ranking</w:t>
            </w:r>
          </w:p>
        </w:tc>
        <w:tc>
          <w:tcPr/>
          <w:p>
            <w:pPr>
              <w:pStyle w:val="Compact"/>
              <w:jc w:val="left"/>
            </w:pPr>
            <w:r>
              <w:t xml:space="preserve">Not in top 50</w:t>
            </w:r>
          </w:p>
        </w:tc>
        <w:tc>
          <w:tcPr/>
          <w:p>
            <w:pPr>
              <w:pStyle w:val="Compact"/>
              <w:jc w:val="left"/>
            </w:pPr>
            <w:r>
              <w:t xml:space="preserve">Position 11–20</w:t>
            </w:r>
          </w:p>
        </w:tc>
        <w:tc>
          <w:tcPr/>
          <w:p>
            <w:pPr>
              <w:pStyle w:val="Compact"/>
              <w:jc w:val="left"/>
            </w:pPr>
            <w:r>
              <w:t xml:space="preserve">Position 1–3</w:t>
            </w:r>
          </w:p>
        </w:tc>
        <w:tc>
          <w:tcPr/>
          <w:p>
            <w:pPr>
              <w:pStyle w:val="Compact"/>
              <w:jc w:val="left"/>
            </w:pPr>
            <w:r>
              <w:t xml:space="preserve">Search Console / SEMrush</w:t>
            </w:r>
          </w:p>
        </w:tc>
      </w:tr>
      <w:tr>
        <w:tc>
          <w:tcPr/>
          <w:p>
            <w:pPr>
              <w:pStyle w:val="Compact"/>
              <w:jc w:val="left"/>
            </w:pPr>
            <w:r>
              <w:t xml:space="preserve">“</w:t>
            </w:r>
            <w:r>
              <w:t xml:space="preserve">Food safety training Pretoria</w:t>
            </w:r>
            <w:r>
              <w:t xml:space="preserve">”</w:t>
            </w:r>
            <w:r>
              <w:t xml:space="preserve"> </w:t>
            </w:r>
            <w:r>
              <w:t xml:space="preserve">ranking</w:t>
            </w:r>
          </w:p>
        </w:tc>
        <w:tc>
          <w:tcPr/>
          <w:p>
            <w:pPr>
              <w:pStyle w:val="Compact"/>
              <w:jc w:val="left"/>
            </w:pPr>
            <w:r>
              <w:t xml:space="preserve">Not in top 50</w:t>
            </w:r>
          </w:p>
        </w:tc>
        <w:tc>
          <w:tcPr/>
          <w:p>
            <w:pPr>
              <w:pStyle w:val="Compact"/>
              <w:jc w:val="left"/>
            </w:pPr>
            <w:r>
              <w:t xml:space="preserve">Position 6–15</w:t>
            </w:r>
          </w:p>
        </w:tc>
        <w:tc>
          <w:tcPr/>
          <w:p>
            <w:pPr>
              <w:pStyle w:val="Compact"/>
              <w:jc w:val="left"/>
            </w:pPr>
            <w:r>
              <w:t xml:space="preserve">Position 1–5</w:t>
            </w:r>
          </w:p>
        </w:tc>
        <w:tc>
          <w:tcPr/>
          <w:p>
            <w:pPr>
              <w:pStyle w:val="Compact"/>
              <w:jc w:val="left"/>
            </w:pPr>
            <w:r>
              <w:t xml:space="preserve">Search Console / SEMrush</w:t>
            </w:r>
          </w:p>
        </w:tc>
      </w:tr>
      <w:tr>
        <w:tc>
          <w:tcPr/>
          <w:p>
            <w:pPr>
              <w:pStyle w:val="Compact"/>
              <w:jc w:val="left"/>
            </w:pPr>
            <w:r>
              <w:t xml:space="preserve">Referring domains (total)</w:t>
            </w:r>
          </w:p>
        </w:tc>
        <w:tc>
          <w:tcPr/>
          <w:p>
            <w:pPr>
              <w:pStyle w:val="Compact"/>
              <w:jc w:val="left"/>
            </w:pPr>
            <w:r>
              <w:t xml:space="preserve">0–5</w:t>
            </w:r>
          </w:p>
        </w:tc>
        <w:tc>
          <w:tcPr/>
          <w:p>
            <w:pPr>
              <w:pStyle w:val="Compact"/>
              <w:jc w:val="left"/>
            </w:pPr>
            <w:r>
              <w:t xml:space="preserve">15–25</w:t>
            </w:r>
          </w:p>
        </w:tc>
        <w:tc>
          <w:tcPr/>
          <w:p>
            <w:pPr>
              <w:pStyle w:val="Compact"/>
              <w:jc w:val="left"/>
            </w:pPr>
            <w:r>
              <w:t xml:space="preserve">50–70</w:t>
            </w:r>
          </w:p>
        </w:tc>
        <w:tc>
          <w:tcPr/>
          <w:p>
            <w:pPr>
              <w:pStyle w:val="Compact"/>
              <w:jc w:val="left"/>
            </w:pPr>
            <w:r>
              <w:t xml:space="preserve">Ahrefs / Moz</w:t>
            </w:r>
          </w:p>
        </w:tc>
      </w:tr>
      <w:tr>
        <w:tc>
          <w:tcPr/>
          <w:p>
            <w:pPr>
              <w:pStyle w:val="Compact"/>
              <w:jc w:val="left"/>
            </w:pPr>
            <w:r>
              <w:t xml:space="preserve">Consulting enquiries (monthly)</w:t>
            </w:r>
          </w:p>
        </w:tc>
        <w:tc>
          <w:tcPr/>
          <w:p>
            <w:pPr>
              <w:pStyle w:val="Compact"/>
              <w:jc w:val="left"/>
            </w:pPr>
            <w:r>
              <w:t xml:space="preserve">&lt;3</w:t>
            </w:r>
          </w:p>
        </w:tc>
        <w:tc>
          <w:tcPr/>
          <w:p>
            <w:pPr>
              <w:pStyle w:val="Compact"/>
              <w:jc w:val="left"/>
            </w:pPr>
            <w:r>
              <w:t xml:space="preserve">8–12</w:t>
            </w:r>
          </w:p>
        </w:tc>
        <w:tc>
          <w:tcPr/>
          <w:p>
            <w:pPr>
              <w:pStyle w:val="Compact"/>
              <w:jc w:val="left"/>
            </w:pPr>
            <w:r>
              <w:t xml:space="preserve">20–30</w:t>
            </w:r>
          </w:p>
        </w:tc>
        <w:tc>
          <w:tcPr/>
          <w:p>
            <w:pPr>
              <w:pStyle w:val="Compact"/>
              <w:jc w:val="left"/>
            </w:pPr>
            <w:r>
              <w:t xml:space="preserve">CRM / form tracking</w:t>
            </w:r>
          </w:p>
        </w:tc>
      </w:tr>
      <w:tr>
        <w:tc>
          <w:tcPr/>
          <w:p>
            <w:pPr>
              <w:pStyle w:val="Compact"/>
              <w:jc w:val="left"/>
            </w:pPr>
            <w:r>
              <w:t xml:space="preserve">Blog posts published (cumulative)</w:t>
            </w:r>
          </w:p>
        </w:tc>
        <w:tc>
          <w:tcPr/>
          <w:p>
            <w:pPr>
              <w:pStyle w:val="Compact"/>
              <w:jc w:val="left"/>
            </w:pPr>
            <w:r>
              <w:t xml:space="preserve">0</w:t>
            </w:r>
          </w:p>
        </w:tc>
        <w:tc>
          <w:tcPr/>
          <w:p>
            <w:pPr>
              <w:pStyle w:val="Compact"/>
              <w:jc w:val="left"/>
            </w:pPr>
            <w:r>
              <w:t xml:space="preserve">8–10</w:t>
            </w:r>
          </w:p>
        </w:tc>
        <w:tc>
          <w:tcPr/>
          <w:p>
            <w:pPr>
              <w:pStyle w:val="Compact"/>
              <w:jc w:val="left"/>
            </w:pPr>
            <w:r>
              <w:t xml:space="preserve">20–24</w:t>
            </w:r>
          </w:p>
        </w:tc>
        <w:tc>
          <w:tcPr/>
          <w:p>
            <w:pPr>
              <w:pStyle w:val="Compact"/>
              <w:jc w:val="left"/>
            </w:pPr>
            <w:r>
              <w:t xml:space="preserve">CMS</w:t>
            </w:r>
          </w:p>
        </w:tc>
      </w:tr>
      <w:tr>
        <w:tc>
          <w:tcPr/>
          <w:p>
            <w:pPr>
              <w:pStyle w:val="Compact"/>
              <w:jc w:val="left"/>
            </w:pPr>
            <w:r>
              <w:t xml:space="preserve">Google Business Profile actions (monthly)</w:t>
            </w:r>
          </w:p>
        </w:tc>
        <w:tc>
          <w:tcPr/>
          <w:p>
            <w:pPr>
              <w:pStyle w:val="Compact"/>
              <w:jc w:val="left"/>
            </w:pPr>
            <w:r>
              <w:t xml:space="preserve">0</w:t>
            </w:r>
          </w:p>
        </w:tc>
        <w:tc>
          <w:tcPr/>
          <w:p>
            <w:pPr>
              <w:pStyle w:val="Compact"/>
              <w:jc w:val="left"/>
            </w:pPr>
            <w:r>
              <w:t xml:space="preserve">30–50</w:t>
            </w:r>
          </w:p>
        </w:tc>
        <w:tc>
          <w:tcPr/>
          <w:p>
            <w:pPr>
              <w:pStyle w:val="Compact"/>
              <w:jc w:val="left"/>
            </w:pPr>
            <w:r>
              <w:t xml:space="preserve">80–120</w:t>
            </w:r>
          </w:p>
        </w:tc>
        <w:tc>
          <w:tcPr/>
          <w:p>
            <w:pPr>
              <w:pStyle w:val="Compact"/>
              <w:jc w:val="left"/>
            </w:pPr>
            <w:r>
              <w:t xml:space="preserve">GBP Insights</w:t>
            </w:r>
          </w:p>
        </w:tc>
      </w:tr>
    </w:tbl>
    <w:p>
      <w:pPr>
        <w:pStyle w:val="BodyText"/>
      </w:pPr>
      <w:r>
        <w:t xml:space="preserve">The month six targets are deliberately conservative. A business moving from zero blog presence to eight indexed articles, two lead magnets, and five directory citations should expect organic traffic in the hundreds rather than thousands — and that is sufficient. At 800–1,200 monthly organic sessions with a 2–3% conversion rate to lead magnet download, RFC captures 16–36 new email subscribers per month, which compounds to 300–500 by month six. The critical inflection point is the</w:t>
      </w:r>
      <w:r>
        <w:t xml:space="preserve"> </w:t>
      </w:r>
      <w:r>
        <w:t xml:space="preserve">“</w:t>
      </w:r>
      <w:r>
        <w:t xml:space="preserve">R638 training</w:t>
      </w:r>
      <w:r>
        <w:t xml:space="preserve">”</w:t>
      </w:r>
      <w:r>
        <w:t xml:space="preserve"> </w:t>
      </w:r>
      <w:r>
        <w:t xml:space="preserve">ranking: breaking into positions 11–20 by month six indicates that Google’s algorithms have accepted RFC’s content as relevant and authoritative for South Africa’s highest-value food safety keyword</w:t>
      </w:r>
      <w:fldSimple w:instr="NOTEREF _Ref_Footnote_9 \h \f">
        <w:r>
          <w:rPr>
            <w:vertAlign w:val="superscript"/>
          </w:rPr>
          <w:t>9</w:t>
        </w:r>
      </w:fldSimple>
      <w:r>
        <w:t xml:space="preserve">. Positions 1–3 by month twelve would place RFC above ASC’s current dominance and capture an estimated 25–35% of all clicks for that query</w:t>
      </w:r>
      <w:fldSimple w:instr="NOTEREF _Ref_Footnote_9 \h \f">
        <w:r>
          <w:rPr>
            <w:vertAlign w:val="superscript"/>
          </w:rPr>
          <w:t>9</w:t>
        </w:r>
      </w:fldSimple>
      <w:r>
        <w:t xml:space="preserve">.</w:t>
      </w:r>
    </w:p>
    <w:p>
      <w:pPr>
        <w:pStyle w:val="BodyText"/>
      </w:pPr>
      <w:r>
        <w:t xml:space="preserve">The academy enrolment trajectory assumes each new course adds incremental revenue without cannibalising the existing R638 programme. At month twelve, 40–60 monthly enrolments across six courses at an average price of R1,400 generates R56,000–R84,000 in monthly academy revenue — a figure that justifies further course development in Year 2. The consulting enquiry target of 20–30 per month by month twelve assumes that blog-driven organic traffic, Google Ads, and email nurture sequences collectively produce a pipeline that RFC’s consulting capacity can serve without quality degradation. If enquiry volume exceeds this target, it becomes the signal to hire additional consultants or increase course prices.</w:t>
      </w:r>
    </w:p>
    <w:p>
      <w:pPr>
        <w:pStyle w:val="BodyText"/>
      </w:pPr>
      <w:r>
        <w:t xml:space="preserve">The referring domains metric is the single best predictor of long-term SEO competitiveness. ASC’s current authority stems from years of content accumulation and industry association backlinks</w:t>
      </w:r>
      <w:fldSimple w:instr="NOTEREF _Ref_Footnote_9 \h \f">
        <w:r>
          <w:rPr>
            <w:vertAlign w:val="superscript"/>
          </w:rPr>
          <w:t>9</w:t>
        </w:r>
      </w:fldSimple>
      <w:r>
        <w:t xml:space="preserve">. RFC’s Year 1 target of 50–70 referring domains, if achieved through the five linkable assets and guest posting programme, closes roughly half the authority gap and positions the site for accelerated ranking gains in Year 2. Tracking this monthly prevents the common mistake of publishing content without distributing it — a pattern that explains why many small business blogs fail to generate traffic despite consistent publishing.</w:t>
      </w:r>
      <w:r>
        <w:t xml:space="preserve"> </w:t>
      </w:r>
      <w:r>
        <w:t xml:space="preserve">-e</w:t>
      </w:r>
    </w:p>
    <w:p>
      <w:r>
        <w:pict>
          <v:rect style="width:0;height:1.5pt" o:hralign="center" o:hrstd="t" o:hr="t"/>
        </w:pict>
      </w:r>
    </w:p>
    <w:p>
      <w:pPr>
        <w:pStyle w:val="FirstParagraph"/>
      </w:pPr>
      <w:r>
        <w:rPr>
          <w:iCs/>
          <w:i/>
        </w:rPr>
        <w:t xml:space="preserve">End of Report</w:t>
      </w:r>
    </w:p>
    <w:bookmarkEnd w:id="129"/>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thencc.org.za. https://thencc.org.za/category/product-recalls/</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Garden Route District Municipality. https://www.gardenroute.gov.za/wp-content/uploads/2025/06/Requirements-for-Formal-Food-Premises-English.pdf</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RFC - Retha Consulting. https://rfcsa.co.za/</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Cloudflare. https://www.cloudflare.com/learning/performance/more/website-performance-conversion-rates/</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Exploding Topics. https://explodingtopics.com/blog/mobile-internet-traffic</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DataReportal. https://datareportal.com/reports/digital-2025-south-africa</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Forbes. https://www.forbes.com/advisor/business/software/website-statistics/</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Browse Courses | RFC Academy. https://rfcacademy.co.za/courses</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ascfoodsafety.com. https://ascfoodsafety.com/</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ascfoodsafety.com. https://ascfoodsafety.com/training/food-safety/introduction-to-haccp-course/</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ascfoodsafety.com. https://ascfoodsafety.com/training/food-safety/food-safety-culture-course/</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ascfoodsafety.com. https://ascfoodsafety.com/training/food-safety/implementation-of-globalgap-course/</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ascfoodsafety.com. https://ascfoodsafety.com/training/food-safety/internal-and-supplier-auditing-based-on-fsms-course/</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ascfoodsafety.com. https://ascfoodsafety.com/training/food-safety/food-defence-and-food-fraud-course/</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ascfoodsafety.com. https://ascfoodsafety.com/why-choose-asc-food-safety-consultants-southern-africas-leading-food-safety-experts/</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ascfoodsafety.com. https://ascfoodsafety.com/why-asc-food-safety-consultants-is-south-africas-most-trusted-food-safety-consultancy-training-provider-and-auditing-firm/</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Entecom. https://www.entecom.co.za/digital-transformation-in-food-safety-leveraging-entecom-online-for-better-compliance/</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Entecom. https://www.entecom.co.za/compliance-software/</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progress-excellence.co.za. https://progress-excellence.co.za/category/food-bites-blog/</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SGS. https://www.sgs.com/en-za/services/fssc-22000</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tuvsud.com. https://www.tuvsud.com/en-za/services/training/instructor-led-courses/food-safety-management-systems/iso-22000-lead-auditor</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DQS Inc.. https://www.dqsglobal.com/en/learn/dqs-academy-trainings-courses/fssc-22000-lead-auditor-training-south-africa</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Shilux Food Safety. https://shilux.co.za/</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Your Food Safety Guide. https://yourfoodsafetyguide.co.za/</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ascfoodsafety.com. https://ascfoodsafety.com/comply-with-food-safety-regulations-with-our-r638-course/</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Food Safety Training &amp; Certification | RFC Academy. https://rfcacademy.co.za/</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Entecom. https://www.entecom.co.za/courses/the-basics-for-food-handlers-accredited-r638-food-safety-training-for-the-person-in-charge-2/</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FSSC. https://www.fssc.com/wp-content/uploads/2026/04/Version-7-Upgrade-Process.pdf</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FSSC. https://www.fssc.com/insights/fssc-22000-version-7-key-changes/</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FSSC. https://www.fssc.com/wp-content/uploads/2026/04/FSSC-22000-Scheme-Version-7.pdf</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SGS. https://www.sgs.com/en-za/news/2026/02/fssc-22000-v7-key-changes-timeline-and-implementation</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SABS. https://www.sabs.co.za/media/advisory_services/2025%20Training%20Brochure%20v3.pdf</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BrightLocal. https://www.brightlocal.com/resources/local-seo-statistics/</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Rankmax. https://www.rankmax.com.au/articles/local-seo-statistics</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SAATCA. https://saatca.co.za/training-course-providers/online-registered-training-course-providers/</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Entecom. https://www.entecom.co.za/</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Guidance Hub | Entecom | Food Safety Compliance. https://www.entecom.co.za/guidance-hub/</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Food Safety Blogs - Food Safety. https://foodsafetymatters.co.za/category/food-safety-blogs/</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Hygiene Heroes. https://hygieneheroes.org.za/hub/resources/food-safety-hygiene-compliance-guide-south-africa/</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Welcome to Progress Excellence - Your Food Safety Training Course partner. https://progress-excellence.co.za/</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AssureCloud. https://assurecloud.co.za/food-safety/training/</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Home | Mérieux NutriSciences EQUIP. https://za-equip.mxns.com/</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wearetenet.comwearetenet.com. https://www.wearetenet.com/blog/website-speed-page-load-time-statistics</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ascfoodsafety.com. https://ascfoodsafety.com/blog/</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SPAR Supplier Development. https://sparsupplierdevelopment.co.za/entecom</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SME Food Safety &amp; Compliance Packages | Shilux South Africa. https://shilux.co.za/sme-support</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Shilux Food Safety. https://shilux.co.za/about</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Your Food Safety Guide. https://yourfoodsafetyguide.co.za/blog</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bvrc.co.za. https://bvrc.co.za/</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Information Hub - Progress Excellence. https://progress-excellence.co.za/information-hub/</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foodsafetymatters.co.za. https://foodsafetymatters.co.za/</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helloyes.co.za. https://helloyes.co.za/digital-statistics-and-usage-south-africa-2025/</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Food Safety Matters. https://juliette-s-site-fdae.thinkific.com/courses/accredited-r638-food-safety-for-the-person-in-charge</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AssureCloud. https://assurecloud.co.za/food-safety/certification/</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SGS Academy USA. https://learning.sgs.com/lmt/clmsCourse.prCourseDetails?site=sgsssc&amp;in_region=za&amp;in_rcoId=120294009</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SME South Africa. https://smesouthafrica.co.za/sme-guides/guide-to-the-south-african-bureau-of-standards-sabs/</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SABS. https://www.sabs.co.za/Training-Academy/</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DQS Inc.. https://www.dqsglobal.com/en/learn/dqs-academy-trainings-courses/fssc-22000-internal-auditing-training-south-africa</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mandela.ac.za. https://continuingeducation.mandela.ac.za/Short-Learning-Programmes-(SLPs)/Food-Hygiene-Training-for-the-Person-in-Charge-(P</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Entecom. https://www.entecom.co.za/product/online-accredited-r638-for-the-person-in-charge/</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ascfoodsafety.com. https://ascfoodsafety.com/fssc-22000-version-7-the-complete-v6%E2%86%92v7-change-guide/</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City of Cape Town. https://www.capetown.gov.za/City-Connect/Apply/Health-and-safety/Environmental-health/Apply-for-a-certificate-of-acceptability</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11thhouse.co.za. https://11thhouse.co.za/best-seo-strategies-in-2025-for-south-african/</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Red Local Agency. https://redlocalagency.com/local-seo-statistics/</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Food &amp; Beverage Reporter. https://fbreporter.co.za/wp-content/uploads/2023/03/ASD-2023_v28pg_Digital%E2%80%93173.pdf</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Ethekweni Online. https://www.durban.gov.za/uploads/0000/6/2025/09/21/certificate-of-acceptability-for-food-premises.pdf</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WP Rocket. https://wp-rocket.me/blog/website-load-time-speed-statistics/</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websitespeedy.com. https://websitespeedy.com/blog/website-load-time-statistics/</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foodbevtrade.co.za. https://foodbevtrade.co.za/wp-content/uploads/2023/07/PFTSA-2023-24-eBook.pdf</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Food Consulting Services. https://foodconsulting.co.za/certificate-of-acceptability-south-africa/</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Western Cape Government. https://www.westerncape.gov.za/edat/files/wcg-blob-files?file=2024-12/city-of-cape-town-how-to-apply-for-a-certificate-of-acceptability-002.pdf&amp;type=file</w:t>
      </w:r>
      <w:bookmarkEnd w:id="10071"/>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61" Target="media/rId61.png"/><Relationship Type="http://schemas.openxmlformats.org/officeDocument/2006/relationships/image" Id="rId57" Target="media/rId57.png"/><Relationship Type="http://schemas.openxmlformats.org/officeDocument/2006/relationships/image" Id="rId69" Target="media/rId69.png"/><Relationship Id="rId70"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2026-05-21T17:40:14Z</dcterms:created>
  <dcterms:modified xsi:type="dcterms:W3CDTF">2026-05-21T17:40:14Z</dcterms:modified>
</cp:coreProperties>
</file>

<file path=docProps/custom.xml><?xml version="1.0" encoding="utf-8"?>
<Properties xmlns="http://schemas.openxmlformats.org/officeDocument/2006/custom-properties" xmlns:vt="http://schemas.openxmlformats.org/officeDocument/2006/docPropsVTypes"/>
</file>