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050508"/>
          <w:sz w:val="72"/>
          <w:szCs w:val="72"/>
        </w:rPr>
        <w:t xml:space="preserve">AIRINDEX</w:t>
      </w:r>
    </w:p>
    <w:p>
      <w:pPr>
        <w:pBdr>
          <w:bottom w:val="single" w:color="00D4FF" w:sz="6" w:space="4"/>
        </w:pBdr>
        <w:spacing w:after="40" w:before="0"/>
      </w:pPr>
      <w:r>
        <w:rPr>
          <w:rFonts w:ascii="Arial" w:cs="Arial" w:eastAsia="Arial" w:hAnsi="Arial"/>
          <w:b/>
          <w:bCs/>
          <w:color w:val="00D4FF"/>
          <w:sz w:val="22"/>
          <w:szCs w:val="22"/>
        </w:rPr>
        <w:t xml:space="preserve">UAM MARKET INTELLIGENCE PLATFORM</w:t>
      </w:r>
    </w:p>
    <w:p>
      <w:pPr>
        <w:spacing w:after="0" w:before="40"/>
      </w:pPr>
      <w:r>
        <w:t xml:space="preserve"/>
      </w:r>
    </w:p>
    <w:p>
      <w:pPr>
        <w:spacing w:after="80" w:before="0"/>
      </w:pPr>
      <w:r>
        <w:rPr>
          <w:rFonts w:ascii="Arial" w:cs="Arial" w:eastAsia="Arial" w:hAnsi="Arial"/>
          <w:b/>
          <w:bCs/>
          <w:color w:val="333333"/>
          <w:sz w:val="32"/>
          <w:szCs w:val="32"/>
        </w:rPr>
        <w:t xml:space="preserve">Scoring Methodology &amp; Dataset Framework</w:t>
      </w:r>
    </w:p>
    <w:p>
      <w:pPr>
        <w:spacing w:after="40" w:before="0"/>
      </w:pPr>
      <w:r>
        <w:rPr>
          <w:rFonts w:ascii="Arial" w:cs="Arial" w:eastAsia="Arial" w:hAnsi="Arial"/>
          <w:color w:val="666666"/>
          <w:sz w:val="18"/>
          <w:szCs w:val="18"/>
        </w:rPr>
        <w:t xml:space="preserve">Version 2.0  |  March 2026  |  Vertical Data Group LLC  |  CONFIDENTIAL</w:t>
      </w:r>
    </w:p>
    <w:p>
      <w:pPr>
        <w:spacing w:after="0" w:before="40"/>
      </w:pPr>
      <w:r>
        <w:t xml:space="preserve"/>
      </w:r>
    </w:p>
    <w:p>
      <w:pPr>
        <w:spacing w:after="80" w:before="0"/>
      </w:pPr>
      <w:r>
        <w:rPr>
          <w:rFonts w:ascii="Arial" w:cs="Arial" w:eastAsia="Arial" w:hAnsi="Arial"/>
          <w:i/>
          <w:iCs/>
          <w:color w:val="333333"/>
          <w:sz w:val="20"/>
          <w:szCs w:val="20"/>
        </w:rPr>
        <w:t xml:space="preserve">This document defines the scoring methodology, factor framework, sub-factor definitions, data sources, and update protocols for the AirIndex UAM Market Readiness Platform. It serves as the internal methodology bible and the foundation for the public-facing methodology white paper.</w:t>
      </w:r>
    </w:p>
    <w:p>
      <w:pPr>
        <w:spacing w:after="40" w:before="40"/>
      </w:pPr>
      <w:r>
        <w:rPr>
          <w:rFonts w:ascii="Arial" w:cs="Arial" w:eastAsia="Arial" w:hAnsi="Arial"/>
          <w:b/>
          <w:bCs/>
          <w:color w:val="050508"/>
          <w:sz w:val="20"/>
          <w:szCs w:val="20"/>
        </w:rPr>
        <w:t xml:space="preserve">Methodology informed in part by:</w:t>
      </w:r>
    </w:p>
    <w:p>
      <w:pPr>
        <w:pStyle w:val="ListParagraph"/>
        <w:numPr>
          <w:ilvl w:val="0"/>
          <w:numId w:val="2"/>
        </w:numPr>
        <w:spacing w:after="40" w:before="40"/>
      </w:pPr>
      <w:r>
        <w:rPr>
          <w:rFonts w:ascii="Arial" w:cs="Arial" w:eastAsia="Arial" w:hAnsi="Arial"/>
          <w:color w:val="333333"/>
          <w:sz w:val="20"/>
          <w:szCs w:val="20"/>
        </w:rPr>
        <w:t xml:space="preserve">Rex Alexander — VFS Infrastructure Advisor, 30 years vertiport/heliport development experience</w:t>
      </w:r>
    </w:p>
    <w:p>
      <w:pPr>
        <w:pStyle w:val="ListParagraph"/>
        <w:numPr>
          <w:ilvl w:val="0"/>
          <w:numId w:val="2"/>
        </w:numPr>
        <w:spacing w:after="40" w:before="40"/>
      </w:pPr>
      <w:r>
        <w:rPr>
          <w:rFonts w:ascii="Arial" w:cs="Arial" w:eastAsia="Arial" w:hAnsi="Arial"/>
          <w:color w:val="333333"/>
          <w:sz w:val="20"/>
          <w:szCs w:val="20"/>
        </w:rPr>
        <w:t xml:space="preserve">Mike Hirschberg — Executive Director, Vertical Flight Society</w:t>
      </w:r>
    </w:p>
    <w:p>
      <w:pPr>
        <w:pStyle w:val="ListParagraph"/>
        <w:numPr>
          <w:ilvl w:val="0"/>
          <w:numId w:val="2"/>
        </w:numPr>
        <w:spacing w:after="40" w:before="40"/>
      </w:pPr>
      <w:r>
        <w:rPr>
          <w:rFonts w:ascii="Arial" w:cs="Arial" w:eastAsia="Arial" w:hAnsi="Arial"/>
          <w:color w:val="333333"/>
          <w:sz w:val="20"/>
          <w:szCs w:val="20"/>
        </w:rPr>
        <w:t xml:space="preserve">AAM Reality Index — SMG Consulting (Sergio Cecutta)</w:t>
      </w:r>
    </w:p>
    <w:p>
      <w:pPr>
        <w:pStyle w:val="ListParagraph"/>
        <w:numPr>
          <w:ilvl w:val="0"/>
          <w:numId w:val="2"/>
        </w:numPr>
        <w:spacing w:after="40" w:before="40"/>
      </w:pPr>
      <w:r>
        <w:rPr>
          <w:rFonts w:ascii="Arial" w:cs="Arial" w:eastAsia="Arial" w:hAnsi="Arial"/>
          <w:color w:val="333333"/>
          <w:sz w:val="20"/>
          <w:szCs w:val="20"/>
        </w:rPr>
        <w:t xml:space="preserve">Community Air Mobility Initiative (CAMI) — Yolanka Wulff</w:t>
      </w:r>
    </w:p>
    <w:p>
      <w:pPr>
        <w:pStyle w:val="ListParagraph"/>
        <w:numPr>
          <w:ilvl w:val="0"/>
          <w:numId w:val="2"/>
        </w:numPr>
        <w:spacing w:after="40" w:before="40"/>
      </w:pPr>
      <w:r>
        <w:rPr>
          <w:rFonts w:ascii="Arial" w:cs="Arial" w:eastAsia="Arial" w:hAnsi="Arial"/>
          <w:color w:val="333333"/>
          <w:sz w:val="20"/>
          <w:szCs w:val="20"/>
        </w:rPr>
        <w:t xml:space="preserve">NEXA Advisors / UAM Geomatics — Michael Dyment</w:t>
      </w:r>
    </w:p>
    <w:p>
      <w:pPr>
        <w:pStyle w:val="ListParagraph"/>
        <w:numPr>
          <w:ilvl w:val="0"/>
          <w:numId w:val="2"/>
        </w:numPr>
        <w:spacing w:after="40" w:before="40"/>
      </w:pPr>
      <w:r>
        <w:rPr>
          <w:rFonts w:ascii="Arial" w:cs="Arial" w:eastAsia="Arial" w:hAnsi="Arial"/>
          <w:color w:val="333333"/>
          <w:sz w:val="20"/>
          <w:szCs w:val="20"/>
        </w:rPr>
        <w:t xml:space="preserve">NAAMCE — National Advanced Air Mobility Center of Excellence, Springfield OH</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8" w:val="clear"/>
            <w:tcMar>
              <w:top w:type="dxa" w:w="120"/>
              <w:left w:type="dxa" w:w="200"/>
              <w:bottom w:type="dxa" w:w="120"/>
              <w:right w:type="dxa" w:w="200"/>
            </w:tcMar>
          </w:tcPr>
          <w:p>
            <w:r>
              <w:rPr>
                <w:rFonts w:ascii="Arial" w:cs="Arial" w:eastAsia="Arial" w:hAnsi="Arial"/>
                <w:b/>
                <w:bCs/>
                <w:color w:val="FFFFFF"/>
                <w:sz w:val="24"/>
                <w:szCs w:val="24"/>
              </w:rPr>
              <w:t xml:space="preserve">SECTION 01  /  METHODOLOGY OVERVIEW</w:t>
            </w:r>
          </w:p>
        </w:tc>
      </w:tr>
    </w:tbl>
    <w:p>
      <w:pPr>
        <w:spacing w:after="0" w:before="80"/>
      </w:pPr>
      <w:r>
        <w:t xml:space="preserve"/>
      </w:r>
    </w:p>
    <w:p>
      <w:pPr>
        <w:pStyle w:val="Heading2"/>
        <w:spacing w:after="120" w:before="240"/>
      </w:pPr>
      <w:r>
        <w:rPr>
          <w:rFonts w:ascii="Arial" w:cs="Arial" w:eastAsia="Arial" w:hAnsi="Arial"/>
          <w:b/>
          <w:bCs/>
          <w:color w:val="050508"/>
          <w:sz w:val="26"/>
          <w:szCs w:val="26"/>
        </w:rPr>
        <w:t xml:space="preserve">Purpose</w:t>
      </w:r>
    </w:p>
    <w:p>
      <w:pPr>
        <w:spacing w:after="80" w:before="60"/>
      </w:pPr>
      <w:r>
        <w:rPr>
          <w:rFonts w:ascii="Arial" w:cs="Arial" w:eastAsia="Arial" w:hAnsi="Arial"/>
          <w:color w:val="333333"/>
          <w:sz w:val="20"/>
          <w:szCs w:val="20"/>
        </w:rPr>
        <w:t xml:space="preserve">AirIndex scores U.S. metropolitan markets on their readiness to support commercial Urban Air Mobility (UAM) operations. The platform is designed to be independent, continuously updated, and methodologically transparent — providing operators, cities, infrastructure investors, and policymakers with a standardized benchmark for market evaluation.</w:t>
      </w:r>
    </w:p>
    <w:p>
      <w:pPr>
        <w:spacing w:after="80" w:before="60"/>
      </w:pPr>
      <w:r>
        <w:rPr>
          <w:rFonts w:ascii="Arial" w:cs="Arial" w:eastAsia="Arial" w:hAnsi="Arial"/>
          <w:color w:val="333333"/>
          <w:sz w:val="20"/>
          <w:szCs w:val="20"/>
        </w:rPr>
        <w:t xml:space="preserve">The scoring system is intentionally designed to reflect real-world friction points — not theoretical readiness. Every factor in the framework corresponds to a documented barrier that has historically prevented or delayed commercial UAM or heliport operations, as validated by industry practitioners with direct operational experience.</w:t>
      </w:r>
    </w:p>
    <w:p>
      <w:pPr>
        <w:spacing w:after="0" w:before="40"/>
      </w:pPr>
      <w:r>
        <w:t xml:space="preserve"/>
      </w:r>
    </w:p>
    <w:p>
      <w:pPr>
        <w:pStyle w:val="Heading2"/>
        <w:spacing w:after="120" w:before="240"/>
      </w:pPr>
      <w:r>
        <w:rPr>
          <w:rFonts w:ascii="Arial" w:cs="Arial" w:eastAsia="Arial" w:hAnsi="Arial"/>
          <w:b/>
          <w:bCs/>
          <w:color w:val="050508"/>
          <w:sz w:val="26"/>
          <w:szCs w:val="26"/>
        </w:rPr>
        <w:t xml:space="preserve">Scoring Structure</w:t>
      </w:r>
    </w:p>
    <w:p>
      <w:pPr>
        <w:spacing w:after="80" w:before="60"/>
      </w:pPr>
      <w:r>
        <w:rPr>
          <w:rFonts w:ascii="Arial" w:cs="Arial" w:eastAsia="Arial" w:hAnsi="Arial"/>
          <w:color w:val="333333"/>
          <w:sz w:val="20"/>
          <w:szCs w:val="20"/>
        </w:rPr>
        <w:t xml:space="preserve">Each market receives a composite score from 0 to 100, derived from seven weighted factors. Each factor contains between two and five sub-factors, each tied to a specific data source and update protocol.</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Composite Score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0 – 100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Weighted average of 7 factors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EMERGING Tier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0 – 34</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Significant gaps across multiple factors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EARLY Tier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35 – 54</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Foundation exists, key gaps present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MODERATE Tier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55 – 74</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Most factors achieved, refinement needed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ADVANCED Tier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75 – 89</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Strong readiness, near commercial viability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LAUNCH-READY Tier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90 – 100</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All factors achieved, commercial ops viable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bl>
    <w:p>
      <w:pPr>
        <w:spacing w:after="0" w:before="80"/>
      </w:pPr>
      <w:r>
        <w:t xml:space="preserve"/>
      </w:r>
    </w:p>
    <w:p>
      <w:pPr>
        <w:pStyle w:val="Heading2"/>
        <w:spacing w:after="120" w:before="240"/>
      </w:pPr>
      <w:r>
        <w:rPr>
          <w:rFonts w:ascii="Arial" w:cs="Arial" w:eastAsia="Arial" w:hAnsi="Arial"/>
          <w:b/>
          <w:bCs/>
          <w:color w:val="050508"/>
          <w:sz w:val="26"/>
          <w:szCs w:val="26"/>
        </w:rPr>
        <w:t xml:space="preserve">Version 2.0 Changes</w:t>
      </w:r>
    </w:p>
    <w:p>
      <w:pPr>
        <w:spacing w:after="80" w:before="60"/>
      </w:pPr>
      <w:r>
        <w:rPr>
          <w:rFonts w:ascii="Arial" w:cs="Arial" w:eastAsia="Arial" w:hAnsi="Arial"/>
          <w:color w:val="333333"/>
          <w:sz w:val="20"/>
          <w:szCs w:val="20"/>
        </w:rPr>
        <w:t xml:space="preserve">Version 2.0 represents a significant expansion of the methodology based on direct input from Rex Alexander (VFS Infrastructure Advisor) and the broader VFS / CAMI network. The primary additions are:</w:t>
      </w:r>
    </w:p>
    <w:p>
      <w:pPr>
        <w:pStyle w:val="ListParagraph"/>
        <w:numPr>
          <w:ilvl w:val="0"/>
          <w:numId w:val="2"/>
        </w:numPr>
        <w:spacing w:after="40" w:before="40"/>
      </w:pPr>
      <w:r>
        <w:rPr>
          <w:rFonts w:ascii="Arial" w:cs="Arial" w:eastAsia="Arial" w:hAnsi="Arial"/>
          <w:color w:val="333333"/>
          <w:sz w:val="20"/>
          <w:szCs w:val="20"/>
        </w:rPr>
        <w:t xml:space="preserve">Legislation Quality added as a distinct sub-factor within Regulatory Environment — distinguishing between legislation that exists vs. legislation that is correctly structured for commercial vertiport development</w:t>
      </w:r>
    </w:p>
    <w:p>
      <w:pPr>
        <w:pStyle w:val="ListParagraph"/>
        <w:numPr>
          <w:ilvl w:val="0"/>
          <w:numId w:val="2"/>
        </w:numPr>
        <w:spacing w:after="40" w:before="40"/>
      </w:pPr>
      <w:r>
        <w:rPr>
          <w:rFonts w:ascii="Arial" w:cs="Arial" w:eastAsia="Arial" w:hAnsi="Arial"/>
          <w:color w:val="333333"/>
          <w:sz w:val="20"/>
          <w:szCs w:val="20"/>
        </w:rPr>
        <w:t xml:space="preserve">Local Policy Existence added as a new standalone scoring element — most cities have no UAM-specific policy document</w:t>
      </w:r>
    </w:p>
    <w:p>
      <w:pPr>
        <w:pStyle w:val="ListParagraph"/>
        <w:numPr>
          <w:ilvl w:val="0"/>
          <w:numId w:val="2"/>
        </w:numPr>
        <w:spacing w:after="40" w:before="40"/>
      </w:pPr>
      <w:r>
        <w:rPr>
          <w:rFonts w:ascii="Arial" w:cs="Arial" w:eastAsia="Arial" w:hAnsi="Arial"/>
          <w:color w:val="333333"/>
          <w:sz w:val="20"/>
          <w:szCs w:val="20"/>
        </w:rPr>
        <w:t xml:space="preserve">Grid Infrastructure expanded into a full weighted factor — Rex identified electrical access as a hard blocker; average heliport has no electricity; $500K–$1M per mile to extend grid</w:t>
      </w:r>
    </w:p>
    <w:p>
      <w:pPr>
        <w:pStyle w:val="ListParagraph"/>
        <w:numPr>
          <w:ilvl w:val="0"/>
          <w:numId w:val="2"/>
        </w:numPr>
        <w:spacing w:after="40" w:before="40"/>
      </w:pPr>
      <w:r>
        <w:rPr>
          <w:rFonts w:ascii="Arial" w:cs="Arial" w:eastAsia="Arial" w:hAnsi="Arial"/>
          <w:color w:val="333333"/>
          <w:sz w:val="20"/>
          <w:szCs w:val="20"/>
        </w:rPr>
        <w:t xml:space="preserve">Community Education Status added — proactive vs. reactive public engagement is a determinative factor in whether projects survive the zoning process</w:t>
      </w:r>
    </w:p>
    <w:p>
      <w:pPr>
        <w:pStyle w:val="ListParagraph"/>
        <w:numPr>
          <w:ilvl w:val="0"/>
          <w:numId w:val="2"/>
        </w:numPr>
        <w:spacing w:after="40" w:before="40"/>
      </w:pPr>
      <w:r>
        <w:rPr>
          <w:rFonts w:ascii="Arial" w:cs="Arial" w:eastAsia="Arial" w:hAnsi="Arial"/>
          <w:color w:val="333333"/>
          <w:sz w:val="20"/>
          <w:szCs w:val="20"/>
        </w:rPr>
        <w:t xml:space="preserve">State DOT Alignment added — whether AAM is on the state DOT's radar and whether licensing pathways have been defined</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8" w:val="clear"/>
            <w:tcMar>
              <w:top w:type="dxa" w:w="120"/>
              <w:left w:type="dxa" w:w="200"/>
              <w:bottom w:type="dxa" w:w="120"/>
              <w:right w:type="dxa" w:w="200"/>
            </w:tcMar>
          </w:tcPr>
          <w:p>
            <w:r>
              <w:rPr>
                <w:rFonts w:ascii="Arial" w:cs="Arial" w:eastAsia="Arial" w:hAnsi="Arial"/>
                <w:b/>
                <w:bCs/>
                <w:color w:val="FFFFFF"/>
                <w:sz w:val="24"/>
                <w:szCs w:val="24"/>
              </w:rPr>
              <w:t xml:space="preserve">SECTION 02  /  THE SEVEN FACTORS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50508" w:val="clear"/>
            <w:tcMar>
              <w:top w:type="dxa" w:w="100"/>
              <w:left w:type="dxa" w:w="160"/>
              <w:bottom w:type="dxa" w:w="100"/>
              <w:right w:type="dxa" w:w="160"/>
            </w:tcMar>
            <w:vAlign w:val="center"/>
          </w:tcPr>
          <w:p>
            <w:pPr>
              <w:jc w:val="center"/>
            </w:pPr>
            <w:r>
              <w:rPr>
                <w:rFonts w:ascii="Arial" w:cs="Arial" w:eastAsia="Arial" w:hAnsi="Arial"/>
                <w:b/>
                <w:bCs/>
                <w:color w:val="00D4FF"/>
                <w:sz w:val="20"/>
                <w:szCs w:val="20"/>
              </w:rPr>
              <w:t xml:space="preserve">F1</w:t>
            </w:r>
          </w:p>
        </w:tc>
        <w:tc>
          <w:tcPr>
            <w:tcW w:type="dxa" w:w="756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r>
              <w:rPr>
                <w:rFonts w:ascii="Arial" w:cs="Arial" w:eastAsia="Arial" w:hAnsi="Arial"/>
                <w:b/>
                <w:bCs/>
                <w:color w:val="050508"/>
                <w:sz w:val="22"/>
                <w:szCs w:val="22"/>
              </w:rPr>
              <w:t xml:space="preserve">Regulatory Environment &amp; Legislation Quality</w:t>
            </w:r>
          </w:p>
        </w:tc>
        <w:tc>
          <w:tcPr>
            <w:tcW w:type="dxa" w:w="120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pPr>
              <w:jc w:val="right"/>
            </w:pPr>
            <w:r>
              <w:rPr>
                <w:rFonts w:ascii="Arial" w:cs="Arial" w:eastAsia="Arial" w:hAnsi="Arial"/>
                <w:b/>
                <w:bCs/>
                <w:color w:val="E07B00"/>
                <w:sz w:val="16"/>
                <w:szCs w:val="16"/>
              </w:rPr>
              <w:t xml:space="preserve">UPDATED V2.0</w:t>
            </w:r>
          </w:p>
        </w:tc>
      </w:tr>
    </w:tbl>
    <w:p>
      <w:pPr>
        <w:spacing w:after="0" w:before="60"/>
      </w:pPr>
      <w:r>
        <w:t xml:space="preserve"/>
      </w:r>
    </w:p>
    <w:p>
      <w:pPr>
        <w:spacing w:after="80" w:before="60"/>
      </w:pPr>
      <w:r>
        <w:rPr>
          <w:rFonts w:ascii="Arial" w:cs="Arial" w:eastAsia="Arial" w:hAnsi="Arial"/>
          <w:color w:val="333333"/>
          <w:sz w:val="20"/>
          <w:szCs w:val="20"/>
        </w:rPr>
        <w:t xml:space="preserve">Regulatory environment is the foundational factor for UAM market readiness. Version 2.0 distinguishes between the mere existence of regulation and the quality and structure of that regulation — a distinction validated by 30 years of real-world heliport and vertiport development experience.</w:t>
      </w:r>
    </w:p>
    <w:p>
      <w:pPr>
        <w:spacing w:after="0" w:before="40"/>
      </w:pPr>
      <w:r>
        <w:t xml:space="preserve"/>
      </w:r>
    </w:p>
    <w:p>
      <w:pPr>
        <w:spacing w:after="80" w:before="200"/>
      </w:pPr>
      <w:r>
        <w:rPr>
          <w:rFonts w:ascii="Arial" w:cs="Arial" w:eastAsia="Arial" w:hAnsi="Arial"/>
          <w:b/>
          <w:bCs/>
          <w:color w:val="E07B00"/>
          <w:sz w:val="22"/>
          <w:szCs w:val="22"/>
        </w:rPr>
        <w:t xml:space="preserve">The Florida vs. West Virginia Problem</w:t>
      </w:r>
    </w:p>
    <w:p>
      <w:pPr>
        <w:spacing w:after="80" w:before="60"/>
      </w:pPr>
      <w:r>
        <w:rPr>
          <w:rFonts w:ascii="Arial" w:cs="Arial" w:eastAsia="Arial" w:hAnsi="Arial"/>
          <w:color w:val="333333"/>
          <w:sz w:val="20"/>
          <w:szCs w:val="20"/>
        </w:rPr>
        <w:t xml:space="preserve">Rex Alexander's key insight: West Virginia's legislation designates vertiports as 'public use' — meaning any aircraft operator can land there. This single legislative choice makes private commercial vertiport development economically unviable and legally complex. Florida's framework, by contrast, enables private operators to control access, making commercial operations feasible. The difference is not whether legislation exists — it is whether it is structured correctly.</w:t>
      </w:r>
    </w:p>
    <w:p>
      <w:pPr>
        <w:spacing w:after="0" w:before="40"/>
      </w:pPr>
      <w:r>
        <w:t xml:space="preserve"/>
      </w:r>
    </w:p>
    <w:p>
      <w:pPr>
        <w:spacing w:after="80" w:before="200"/>
      </w:pPr>
      <w:r>
        <w:rPr>
          <w:rFonts w:ascii="Arial" w:cs="Arial" w:eastAsia="Arial" w:hAnsi="Arial"/>
          <w:b/>
          <w:bCs/>
          <w:color w:val="050508"/>
          <w:sz w:val="22"/>
          <w:szCs w:val="22"/>
        </w:rPr>
        <w:t xml:space="preserve">Sub-Factors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State Legislation Existence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State legislature records, FAA state aviation authority sites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Legislation Quality Score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Legal analysis against Florida model; public use clause review</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Annual / on change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10%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Local Zoning &amp; Ordinance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City/county zoning codes, planning department records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Local Policy Document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City websites, planning dept. outreach, FOIA requests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8%</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Permitting Pathway Clarity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Direct city outreach, planning dept. interviews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Semi-annual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7%</w:t>
            </w:r>
          </w:p>
        </w:tc>
      </w:tr>
    </w:tbl>
    <w:p>
      <w:pPr>
        <w:spacing w:after="0" w:before="40"/>
      </w:pPr>
      <w:r>
        <w:t xml:space="preserve"/>
      </w:r>
    </w:p>
    <w:p>
      <w:pPr>
        <w:spacing w:after="80" w:before="60"/>
        <w:ind w:left="360"/>
      </w:pPr>
      <w:r>
        <w:rPr>
          <w:rFonts w:ascii="Arial" w:cs="Arial" w:eastAsia="Arial" w:hAnsi="Arial"/>
          <w:i/>
          <w:iCs/>
          <w:color w:val="666666"/>
          <w:sz w:val="18"/>
          <w:szCs w:val="18"/>
        </w:rPr>
        <w:t xml:space="preserve">Data gap: Local policy documents require direct outreach to planning departments. Most cities do not publish UAM-specific policy online. This sub-factor will initially be scored binary (exists / does not exist) with plans to grade quality in V2.1.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50508" w:val="clear"/>
            <w:tcMar>
              <w:top w:type="dxa" w:w="100"/>
              <w:left w:type="dxa" w:w="160"/>
              <w:bottom w:type="dxa" w:w="100"/>
              <w:right w:type="dxa" w:w="160"/>
            </w:tcMar>
            <w:vAlign w:val="center"/>
          </w:tcPr>
          <w:p>
            <w:pPr>
              <w:jc w:val="center"/>
            </w:pPr>
            <w:r>
              <w:rPr>
                <w:rFonts w:ascii="Arial" w:cs="Arial" w:eastAsia="Arial" w:hAnsi="Arial"/>
                <w:b/>
                <w:bCs/>
                <w:color w:val="00D4FF"/>
                <w:sz w:val="20"/>
                <w:szCs w:val="20"/>
              </w:rPr>
              <w:t xml:space="preserve">F2</w:t>
            </w:r>
          </w:p>
        </w:tc>
        <w:tc>
          <w:tcPr>
            <w:tcW w:type="dxa" w:w="756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r>
              <w:rPr>
                <w:rFonts w:ascii="Arial" w:cs="Arial" w:eastAsia="Arial" w:hAnsi="Arial"/>
                <w:b/>
                <w:bCs/>
                <w:color w:val="050508"/>
                <w:sz w:val="22"/>
                <w:szCs w:val="22"/>
              </w:rPr>
              <w:t xml:space="preserve">Infrastructure &amp; Grid Readiness</w:t>
            </w:r>
          </w:p>
        </w:tc>
        <w:tc>
          <w:tcPr>
            <w:tcW w:type="dxa" w:w="120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pPr>
              <w:jc w:val="right"/>
            </w:pPr>
            <w:r>
              <w:rPr>
                <w:rFonts w:ascii="Arial" w:cs="Arial" w:eastAsia="Arial" w:hAnsi="Arial"/>
                <w:b/>
                <w:bCs/>
                <w:color w:val="00C48C"/>
                <w:sz w:val="16"/>
                <w:szCs w:val="16"/>
              </w:rPr>
              <w:t xml:space="preserve">NEW IN V2.0</w:t>
            </w:r>
          </w:p>
        </w:tc>
      </w:tr>
    </w:tbl>
    <w:p>
      <w:pPr>
        <w:spacing w:after="0" w:before="60"/>
      </w:pPr>
      <w:r>
        <w:t xml:space="preserve"/>
      </w:r>
    </w:p>
    <w:p>
      <w:pPr>
        <w:spacing w:after="80" w:before="60"/>
      </w:pPr>
      <w:r>
        <w:rPr>
          <w:rFonts w:ascii="Arial" w:cs="Arial" w:eastAsia="Arial" w:hAnsi="Arial"/>
          <w:color w:val="333333"/>
          <w:sz w:val="20"/>
          <w:szCs w:val="20"/>
        </w:rPr>
        <w:t xml:space="preserve">Infrastructure readiness has been elevated to a full weighted factor in V2.0. Rex Alexander identified electrical grid access as the single most underestimated hard blocker in vertiport development. The average existing heliport has no dedicated electrical infrastructure — which means eVTOL operations cannot begin without significant capital investment.</w:t>
      </w:r>
    </w:p>
    <w:p>
      <w:pPr>
        <w:spacing w:after="0" w:before="40"/>
      </w:pPr>
      <w:r>
        <w:t xml:space="preserve"/>
      </w:r>
    </w:p>
    <w:p>
      <w:pPr>
        <w:spacing w:after="80" w:before="200"/>
      </w:pPr>
      <w:r>
        <w:rPr>
          <w:rFonts w:ascii="Arial" w:cs="Arial" w:eastAsia="Arial" w:hAnsi="Arial"/>
          <w:b/>
          <w:bCs/>
          <w:color w:val="E07B00"/>
          <w:sz w:val="22"/>
          <w:szCs w:val="22"/>
        </w:rPr>
        <w:t xml:space="preserve">The Grid Problem</w:t>
      </w:r>
    </w:p>
    <w:p>
      <w:pPr>
        <w:spacing w:after="80" w:before="60"/>
      </w:pPr>
      <w:r>
        <w:rPr>
          <w:rFonts w:ascii="Arial" w:cs="Arial" w:eastAsia="Arial" w:hAnsi="Arial"/>
          <w:color w:val="333333"/>
          <w:sz w:val="20"/>
          <w:szCs w:val="20"/>
        </w:rPr>
        <w:t xml:space="preserve">The cost to extend electrical grid infrastructure to a site is $500,000 to $1,000,000 per mile. For urban sites with nearby grid connections this may be manageable. For suburban or exurban sites this cost alone can make a project economically unviable. AirIndex scores cities on the proximity and capacity of existing electrical infrastructure near identified vertiport sites, as well as whether local utilities have engaged with AAM planning.</w:t>
      </w:r>
    </w:p>
    <w:p>
      <w:pPr>
        <w:spacing w:after="0" w:before="40"/>
      </w:pPr>
      <w:r>
        <w:t xml:space="preserve"/>
      </w:r>
    </w:p>
    <w:p>
      <w:pPr>
        <w:spacing w:after="80" w:before="200"/>
      </w:pPr>
      <w:r>
        <w:rPr>
          <w:rFonts w:ascii="Arial" w:cs="Arial" w:eastAsia="Arial" w:hAnsi="Arial"/>
          <w:b/>
          <w:bCs/>
          <w:color w:val="050508"/>
          <w:sz w:val="22"/>
          <w:szCs w:val="22"/>
        </w:rPr>
        <w:t xml:space="preserve">Sub-Factors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Existing Heliport Electrical Status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FAA heliport database, site surveys, utility records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Grid Proximity to Identified Sites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EIA utility data, utility company GIS layers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Grid Capacity &amp; Reinforcement Plans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Utility IRP filings, state PUC records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Utility AAM Engagement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Public utility commission records, news search</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Semi-annual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Vertiport Site Infrastructure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VertiSim data, operator site assessments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 available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4%</w:t>
            </w:r>
          </w:p>
        </w:tc>
      </w:tr>
    </w:tbl>
    <w:p>
      <w:pPr>
        <w:spacing w:after="0" w:before="40"/>
      </w:pPr>
      <w:r>
        <w:t xml:space="preserve"/>
      </w:r>
    </w:p>
    <w:p>
      <w:pPr>
        <w:spacing w:after="80" w:before="60"/>
        <w:ind w:left="360"/>
      </w:pPr>
      <w:r>
        <w:rPr>
          <w:rFonts w:ascii="Arial" w:cs="Arial" w:eastAsia="Arial" w:hAnsi="Arial"/>
          <w:i/>
          <w:iCs/>
          <w:color w:val="666666"/>
          <w:sz w:val="18"/>
          <w:szCs w:val="18"/>
        </w:rPr>
        <w:t xml:space="preserve">Key benchmark: $500K–$1M per mile for grid extension (Rex Alexander, VFS, March 2026). This figure should be referenced in all gap reports where grid infrastructure is identified as a gap.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50508" w:val="clear"/>
            <w:tcMar>
              <w:top w:type="dxa" w:w="100"/>
              <w:left w:type="dxa" w:w="160"/>
              <w:bottom w:type="dxa" w:w="100"/>
              <w:right w:type="dxa" w:w="160"/>
            </w:tcMar>
            <w:vAlign w:val="center"/>
          </w:tcPr>
          <w:p>
            <w:pPr>
              <w:jc w:val="center"/>
            </w:pPr>
            <w:r>
              <w:rPr>
                <w:rFonts w:ascii="Arial" w:cs="Arial" w:eastAsia="Arial" w:hAnsi="Arial"/>
                <w:b/>
                <w:bCs/>
                <w:color w:val="00D4FF"/>
                <w:sz w:val="20"/>
                <w:szCs w:val="20"/>
              </w:rPr>
              <w:t xml:space="preserve">F3</w:t>
            </w:r>
          </w:p>
        </w:tc>
        <w:tc>
          <w:tcPr>
            <w:tcW w:type="dxa" w:w="756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r>
              <w:rPr>
                <w:rFonts w:ascii="Arial" w:cs="Arial" w:eastAsia="Arial" w:hAnsi="Arial"/>
                <w:b/>
                <w:bCs/>
                <w:color w:val="050508"/>
                <w:sz w:val="22"/>
                <w:szCs w:val="22"/>
              </w:rPr>
              <w:t xml:space="preserve">Operator Commitment &amp; Market Activity</w:t>
            </w:r>
          </w:p>
        </w:tc>
        <w:tc>
          <w:tcPr>
            <w:tcW w:type="dxa" w:w="120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pPr>
              <w:jc w:val="right"/>
            </w:pPr>
            <w:r>
              <w:rPr>
                <w:rFonts w:ascii="Arial" w:cs="Arial" w:eastAsia="Arial" w:hAnsi="Arial"/>
                <w:b/>
                <w:bCs/>
                <w:color w:val="00C48C"/>
                <w:sz w:val="16"/>
                <w:szCs w:val="16"/>
              </w:rPr>
              <w:t xml:space="preserve">ACTIVE</w:t>
            </w:r>
          </w:p>
        </w:tc>
      </w:tr>
    </w:tbl>
    <w:p>
      <w:pPr>
        <w:spacing w:after="0" w:before="60"/>
      </w:pPr>
      <w:r>
        <w:t xml:space="preserve"/>
      </w:r>
    </w:p>
    <w:p>
      <w:pPr>
        <w:spacing w:after="80" w:before="60"/>
      </w:pPr>
      <w:r>
        <w:rPr>
          <w:rFonts w:ascii="Arial" w:cs="Arial" w:eastAsia="Arial" w:hAnsi="Arial"/>
          <w:color w:val="333333"/>
          <w:sz w:val="20"/>
          <w:szCs w:val="20"/>
        </w:rPr>
        <w:t xml:space="preserve">Operator commitment is the clearest market signal. When a major eVTOL operator has publicly committed to a market — through route announcements, partnership agreements, or infrastructure investment — that market's readiness is materially accelerated. Operator presence also influences regulatory and community dynamics.</w:t>
      </w:r>
    </w:p>
    <w:p>
      <w:pPr>
        <w:spacing w:after="0" w:before="40"/>
      </w:pPr>
      <w:r>
        <w:t xml:space="preserve"/>
      </w:r>
    </w:p>
    <w:p>
      <w:pPr>
        <w:spacing w:after="80" w:before="200"/>
      </w:pPr>
      <w:r>
        <w:rPr>
          <w:rFonts w:ascii="Arial" w:cs="Arial" w:eastAsia="Arial" w:hAnsi="Arial"/>
          <w:b/>
          <w:bCs/>
          <w:color w:val="050508"/>
          <w:sz w:val="22"/>
          <w:szCs w:val="22"/>
        </w:rPr>
        <w:t xml:space="preserve">Sub-Factors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Named Operator Commitment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Operator press releases, SEC filings, news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10%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Vertiport Developer Presence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VertiSim data, Skyports, Lilium Port announcements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Monthly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8%</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MRO / Support Infrastructure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Aviation business registrations, news search</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Airport / Airline Partnership</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Press releases, FAA records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7%</w:t>
            </w:r>
          </w:p>
        </w:tc>
      </w:tr>
    </w:tbl>
    <w:p>
      <w:pPr>
        <w:spacing w:after="0" w:before="40"/>
      </w:pPr>
      <w:r>
        <w:t xml:space="preserve"/>
      </w:r>
    </w:p>
    <w:p>
      <w:pPr>
        <w:spacing w:after="80" w:before="60"/>
        <w:ind w:left="360"/>
      </w:pPr>
      <w:r>
        <w:rPr>
          <w:rFonts w:ascii="Arial" w:cs="Arial" w:eastAsia="Arial" w:hAnsi="Arial"/>
          <w:i/>
          <w:iCs/>
          <w:color w:val="666666"/>
          <w:sz w:val="18"/>
          <w:szCs w:val="18"/>
        </w:rPr>
        <w:t xml:space="preserve">Data source: AAM Reality Index (SMG Consulting / Sergio Cecutta) tracks operator and vertiport developer readiness scores. AirIndex should cross-reference AIR Index vertiport developer EIS cities when scoring this factor.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50508" w:val="clear"/>
            <w:tcMar>
              <w:top w:type="dxa" w:w="100"/>
              <w:left w:type="dxa" w:w="160"/>
              <w:bottom w:type="dxa" w:w="100"/>
              <w:right w:type="dxa" w:w="160"/>
            </w:tcMar>
            <w:vAlign w:val="center"/>
          </w:tcPr>
          <w:p>
            <w:pPr>
              <w:jc w:val="center"/>
            </w:pPr>
            <w:r>
              <w:rPr>
                <w:rFonts w:ascii="Arial" w:cs="Arial" w:eastAsia="Arial" w:hAnsi="Arial"/>
                <w:b/>
                <w:bCs/>
                <w:color w:val="00D4FF"/>
                <w:sz w:val="20"/>
                <w:szCs w:val="20"/>
              </w:rPr>
              <w:t xml:space="preserve">F4</w:t>
            </w:r>
          </w:p>
        </w:tc>
        <w:tc>
          <w:tcPr>
            <w:tcW w:type="dxa" w:w="756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r>
              <w:rPr>
                <w:rFonts w:ascii="Arial" w:cs="Arial" w:eastAsia="Arial" w:hAnsi="Arial"/>
                <w:b/>
                <w:bCs/>
                <w:color w:val="050508"/>
                <w:sz w:val="22"/>
                <w:szCs w:val="22"/>
              </w:rPr>
              <w:t xml:space="preserve">Airspace &amp; Authorization</w:t>
            </w:r>
          </w:p>
        </w:tc>
        <w:tc>
          <w:tcPr>
            <w:tcW w:type="dxa" w:w="120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pPr>
              <w:jc w:val="right"/>
            </w:pPr>
            <w:r>
              <w:rPr>
                <w:rFonts w:ascii="Arial" w:cs="Arial" w:eastAsia="Arial" w:hAnsi="Arial"/>
                <w:b/>
                <w:bCs/>
                <w:color w:val="00C48C"/>
                <w:sz w:val="16"/>
                <w:szCs w:val="16"/>
              </w:rPr>
              <w:t xml:space="preserve">ACTIVE</w:t>
            </w:r>
          </w:p>
        </w:tc>
      </w:tr>
    </w:tbl>
    <w:p>
      <w:pPr>
        <w:spacing w:after="0" w:before="60"/>
      </w:pPr>
      <w:r>
        <w:t xml:space="preserve"/>
      </w:r>
    </w:p>
    <w:p>
      <w:pPr>
        <w:spacing w:after="80" w:before="60"/>
      </w:pPr>
      <w:r>
        <w:rPr>
          <w:rFonts w:ascii="Arial" w:cs="Arial" w:eastAsia="Arial" w:hAnsi="Arial"/>
          <w:color w:val="333333"/>
          <w:sz w:val="20"/>
          <w:szCs w:val="20"/>
        </w:rPr>
        <w:t xml:space="preserve">Airspace authorization is a federal domain but its implementation is local. Markets with active FAA UIUC or BEYOND program participation, existing low-altitude corridor authorizations, or UAS integration pilot programs are materially ahead of markets without this infrastructure in place.</w:t>
      </w:r>
    </w:p>
    <w:p>
      <w:pPr>
        <w:spacing w:after="0" w:before="40"/>
      </w:pPr>
      <w:r>
        <w:t xml:space="preserve"/>
      </w:r>
    </w:p>
    <w:p>
      <w:pPr>
        <w:spacing w:after="80" w:before="200"/>
      </w:pPr>
      <w:r>
        <w:rPr>
          <w:rFonts w:ascii="Arial" w:cs="Arial" w:eastAsia="Arial" w:hAnsi="Arial"/>
          <w:b/>
          <w:bCs/>
          <w:color w:val="050508"/>
          <w:sz w:val="22"/>
          <w:szCs w:val="22"/>
        </w:rPr>
        <w:t xml:space="preserve">Sub-Factors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FAA Authorization Status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FAA UAS Integration Pilot Program records, BEYOND data</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Low-Altitude Corridor Mapping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FAA airspace data, local UAS corridor announcements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7%</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LAANC Coverage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FAA LAANC map</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UTM / AAM Integration Activity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State DOT records, FAA pilot program participation</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5%</w:t>
            </w:r>
          </w:p>
        </w:tc>
      </w:tr>
    </w:tbl>
    <w:p>
      <w:pPr>
        <w:spacing w:after="0" w:before="40"/>
      </w:pPr>
      <w:r>
        <w:t xml:space="preserve"/>
      </w:r>
    </w:p>
    <w:p>
      <w:pPr>
        <w:spacing w:after="80" w:before="60"/>
        <w:ind w:left="360"/>
      </w:pPr>
      <w:r>
        <w:rPr>
          <w:rFonts w:ascii="Arial" w:cs="Arial" w:eastAsia="Arial" w:hAnsi="Arial"/>
          <w:i/>
          <w:iCs/>
          <w:color w:val="666666"/>
          <w:sz w:val="18"/>
          <w:szCs w:val="18"/>
        </w:rPr>
        <w:t xml:space="preserve">TxDOT model: Sergio Roman (Director of Emerging Aviation Technology, TxDOT) represents the ideal State DOT alignment — AAM explicitly on the DOT roadmap with dedicated staffing. This should be used as the benchmark when scoring State DOT Alignment sub-factor.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50508" w:val="clear"/>
            <w:tcMar>
              <w:top w:type="dxa" w:w="100"/>
              <w:left w:type="dxa" w:w="160"/>
              <w:bottom w:type="dxa" w:w="100"/>
              <w:right w:type="dxa" w:w="160"/>
            </w:tcMar>
            <w:vAlign w:val="center"/>
          </w:tcPr>
          <w:p>
            <w:pPr>
              <w:jc w:val="center"/>
            </w:pPr>
            <w:r>
              <w:rPr>
                <w:rFonts w:ascii="Arial" w:cs="Arial" w:eastAsia="Arial" w:hAnsi="Arial"/>
                <w:b/>
                <w:bCs/>
                <w:color w:val="00D4FF"/>
                <w:sz w:val="20"/>
                <w:szCs w:val="20"/>
              </w:rPr>
              <w:t xml:space="preserve">F5</w:t>
            </w:r>
          </w:p>
        </w:tc>
        <w:tc>
          <w:tcPr>
            <w:tcW w:type="dxa" w:w="756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r>
              <w:rPr>
                <w:rFonts w:ascii="Arial" w:cs="Arial" w:eastAsia="Arial" w:hAnsi="Arial"/>
                <w:b/>
                <w:bCs/>
                <w:color w:val="050508"/>
                <w:sz w:val="22"/>
                <w:szCs w:val="22"/>
              </w:rPr>
              <w:t xml:space="preserve">State DOT &amp; Municipal Alignment</w:t>
            </w:r>
          </w:p>
        </w:tc>
        <w:tc>
          <w:tcPr>
            <w:tcW w:type="dxa" w:w="120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pPr>
              <w:jc w:val="right"/>
            </w:pPr>
            <w:r>
              <w:rPr>
                <w:rFonts w:ascii="Arial" w:cs="Arial" w:eastAsia="Arial" w:hAnsi="Arial"/>
                <w:b/>
                <w:bCs/>
                <w:color w:val="00C48C"/>
                <w:sz w:val="16"/>
                <w:szCs w:val="16"/>
              </w:rPr>
              <w:t xml:space="preserve">NEW IN V2.0</w:t>
            </w:r>
          </w:p>
        </w:tc>
      </w:tr>
    </w:tbl>
    <w:p>
      <w:pPr>
        <w:spacing w:after="0" w:before="60"/>
      </w:pPr>
      <w:r>
        <w:t xml:space="preserve"/>
      </w:r>
    </w:p>
    <w:p>
      <w:pPr>
        <w:spacing w:after="80" w:before="60"/>
      </w:pPr>
      <w:r>
        <w:rPr>
          <w:rFonts w:ascii="Arial" w:cs="Arial" w:eastAsia="Arial" w:hAnsi="Arial"/>
          <w:color w:val="333333"/>
          <w:sz w:val="20"/>
          <w:szCs w:val="20"/>
        </w:rPr>
        <w:t xml:space="preserve">Rex Alexander's direct observation: AAM is not on the radar of most local offices. Cities and counties are the hardest nut to crack because they have no policy, no process, and often no awareness that UAM is coming. State DOT alignment is a necessary precondition for municipal readiness — when a state DOT has defined AAM in its planning framework, it creates a pathway for municipalities to follow.</w:t>
      </w:r>
    </w:p>
    <w:p>
      <w:pPr>
        <w:spacing w:after="0" w:before="40"/>
      </w:pPr>
      <w:r>
        <w:t xml:space="preserve"/>
      </w:r>
    </w:p>
    <w:p>
      <w:pPr>
        <w:spacing w:after="80" w:before="200"/>
      </w:pPr>
      <w:r>
        <w:rPr>
          <w:rFonts w:ascii="Arial" w:cs="Arial" w:eastAsia="Arial" w:hAnsi="Arial"/>
          <w:b/>
          <w:bCs/>
          <w:color w:val="050508"/>
          <w:sz w:val="22"/>
          <w:szCs w:val="22"/>
        </w:rPr>
        <w:t xml:space="preserve">The Local Policy Question</w:t>
      </w:r>
    </w:p>
    <w:p>
      <w:pPr>
        <w:spacing w:after="80" w:before="60"/>
      </w:pPr>
      <w:r>
        <w:rPr>
          <w:rFonts w:ascii="Arial" w:cs="Arial" w:eastAsia="Arial" w:hAnsi="Arial"/>
          <w:color w:val="333333"/>
          <w:sz w:val="20"/>
          <w:szCs w:val="20"/>
        </w:rPr>
        <w:t xml:space="preserve">The operational test for this factor is simple: Does the city have a UAM policy? In almost every market currently, the answer is no. The gap report for any city scoring low on this factor should answer the question 'what does a policy need to include' and provide a framework the city can adopt.</w:t>
      </w:r>
    </w:p>
    <w:p>
      <w:pPr>
        <w:spacing w:after="0" w:before="40"/>
      </w:pPr>
      <w:r>
        <w:t xml:space="preserve"/>
      </w:r>
    </w:p>
    <w:p>
      <w:pPr>
        <w:spacing w:after="80" w:before="200"/>
      </w:pPr>
      <w:r>
        <w:rPr>
          <w:rFonts w:ascii="Arial" w:cs="Arial" w:eastAsia="Arial" w:hAnsi="Arial"/>
          <w:b/>
          <w:bCs/>
          <w:color w:val="050508"/>
          <w:sz w:val="22"/>
          <w:szCs w:val="22"/>
        </w:rPr>
        <w:t xml:space="preserve">Sub-Factors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State DOT AAM Designation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State DOT strategic plans, AAM program pages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State Licensing Pathway Defined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State aviation authority records, DOT publications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Municipal UAM Policy Existence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City websites, planning dept. outreach, FOIA</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8%</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Planning Dept. AAM Awareness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Direct outreach, workshop records, city council minutes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Semi-annual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Municipal Workshop History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City council records, public meeting archives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Semi-annual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4%</w:t>
            </w:r>
          </w:p>
        </w:tc>
      </w:tr>
    </w:tbl>
    <w:p>
      <w:pPr>
        <w:spacing w:after="0" w:before="40"/>
      </w:pPr>
      <w:r>
        <w:t xml:space="preserve"/>
      </w:r>
    </w:p>
    <w:p>
      <w:pPr>
        <w:spacing w:after="80" w:before="60"/>
        <w:ind w:left="360"/>
      </w:pPr>
      <w:r>
        <w:rPr>
          <w:rFonts w:ascii="Arial" w:cs="Arial" w:eastAsia="Arial" w:hAnsi="Arial"/>
          <w:i/>
          <w:iCs/>
          <w:color w:val="666666"/>
          <w:sz w:val="18"/>
          <w:szCs w:val="18"/>
        </w:rPr>
        <w:t xml:space="preserve">Making it up as they go: Rex Alexander's direct characterization of current state-level UAM legislation. States writing UAM law without a national template are producing inconsistent, sometimes counterproductive frameworks. AirIndex's legislative quality scoring directly addresses this — and the gap report provides cities and states with a benchmark to compare against.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50508" w:val="clear"/>
            <w:tcMar>
              <w:top w:type="dxa" w:w="100"/>
              <w:left w:type="dxa" w:w="160"/>
              <w:bottom w:type="dxa" w:w="100"/>
              <w:right w:type="dxa" w:w="160"/>
            </w:tcMar>
            <w:vAlign w:val="center"/>
          </w:tcPr>
          <w:p>
            <w:pPr>
              <w:jc w:val="center"/>
            </w:pPr>
            <w:r>
              <w:rPr>
                <w:rFonts w:ascii="Arial" w:cs="Arial" w:eastAsia="Arial" w:hAnsi="Arial"/>
                <w:b/>
                <w:bCs/>
                <w:color w:val="00D4FF"/>
                <w:sz w:val="20"/>
                <w:szCs w:val="20"/>
              </w:rPr>
              <w:t xml:space="preserve">F6</w:t>
            </w:r>
          </w:p>
        </w:tc>
        <w:tc>
          <w:tcPr>
            <w:tcW w:type="dxa" w:w="756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r>
              <w:rPr>
                <w:rFonts w:ascii="Arial" w:cs="Arial" w:eastAsia="Arial" w:hAnsi="Arial"/>
                <w:b/>
                <w:bCs/>
                <w:color w:val="050508"/>
                <w:sz w:val="22"/>
                <w:szCs w:val="22"/>
              </w:rPr>
              <w:t xml:space="preserve">Community Readiness &amp; Public Acceptance</w:t>
            </w:r>
          </w:p>
        </w:tc>
        <w:tc>
          <w:tcPr>
            <w:tcW w:type="dxa" w:w="120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pPr>
              <w:jc w:val="right"/>
            </w:pPr>
            <w:r>
              <w:rPr>
                <w:rFonts w:ascii="Arial" w:cs="Arial" w:eastAsia="Arial" w:hAnsi="Arial"/>
                <w:b/>
                <w:bCs/>
                <w:color w:val="00C48C"/>
                <w:sz w:val="16"/>
                <w:szCs w:val="16"/>
              </w:rPr>
              <w:t xml:space="preserve">NEW IN V2.0</w:t>
            </w:r>
          </w:p>
        </w:tc>
      </w:tr>
    </w:tbl>
    <w:p>
      <w:pPr>
        <w:spacing w:after="0" w:before="60"/>
      </w:pPr>
      <w:r>
        <w:t xml:space="preserve"/>
      </w:r>
    </w:p>
    <w:p>
      <w:pPr>
        <w:spacing w:after="80" w:before="60"/>
      </w:pPr>
      <w:r>
        <w:rPr>
          <w:rFonts w:ascii="Arial" w:cs="Arial" w:eastAsia="Arial" w:hAnsi="Arial"/>
          <w:color w:val="333333"/>
          <w:sz w:val="20"/>
          <w:szCs w:val="20"/>
        </w:rPr>
        <w:t xml:space="preserve">Community opposition is one of the most common and most preventable reasons infrastructure projects fail at the local level. Rex Alexander's direct insight: it is far better for a city to tell its community about UAM proactively than for residents to find out on the evening news.</w:t>
      </w:r>
    </w:p>
    <w:p>
      <w:pPr>
        <w:spacing w:after="0" w:before="40"/>
      </w:pPr>
      <w:r>
        <w:t xml:space="preserve"/>
      </w:r>
    </w:p>
    <w:p>
      <w:pPr>
        <w:spacing w:after="80" w:before="200"/>
      </w:pPr>
      <w:r>
        <w:rPr>
          <w:rFonts w:ascii="Arial" w:cs="Arial" w:eastAsia="Arial" w:hAnsi="Arial"/>
          <w:b/>
          <w:bCs/>
          <w:color w:val="050508"/>
          <w:sz w:val="22"/>
          <w:szCs w:val="22"/>
        </w:rPr>
        <w:t xml:space="preserve">The Evening News Test</w:t>
      </w:r>
    </w:p>
    <w:p>
      <w:pPr>
        <w:spacing w:after="80" w:before="60"/>
      </w:pPr>
      <w:r>
        <w:rPr>
          <w:rFonts w:ascii="Arial" w:cs="Arial" w:eastAsia="Arial" w:hAnsi="Arial"/>
          <w:color w:val="333333"/>
          <w:sz w:val="20"/>
          <w:szCs w:val="20"/>
        </w:rPr>
        <w:t xml:space="preserve">A city passes the evening news test if: community members have been engaged through public workshops or informational sessions before any operator announcement or permit application is filed. A city fails the test if the first time residents hear about a proposed vertiport is through a news report about a permit application. Failure typically produces organized opposition that reaches city council — even in markets with favorable legislation and willing operators.</w:t>
      </w:r>
    </w:p>
    <w:p>
      <w:pPr>
        <w:spacing w:after="0" w:before="40"/>
      </w:pPr>
      <w:r>
        <w:t xml:space="preserve"/>
      </w:r>
    </w:p>
    <w:p>
      <w:pPr>
        <w:spacing w:after="80" w:before="200"/>
      </w:pPr>
      <w:r>
        <w:rPr>
          <w:rFonts w:ascii="Arial" w:cs="Arial" w:eastAsia="Arial" w:hAnsi="Arial"/>
          <w:b/>
          <w:bCs/>
          <w:color w:val="050508"/>
          <w:sz w:val="22"/>
          <w:szCs w:val="22"/>
        </w:rPr>
        <w:t xml:space="preserve">Sub-Factors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Public Workshop History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City council meeting records, news archives, CAMI data</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7%</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Community Engagement Status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Local news search, neighborhood association records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Elected Official Support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Public statements, city council votes, news search</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Media Sentiment Index</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Local news archive sentiment analysis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Monthly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NIMBY Incident History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News search, city council opposition records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Semi-annual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3%</w:t>
            </w:r>
          </w:p>
        </w:tc>
      </w:tr>
    </w:tbl>
    <w:p>
      <w:pPr>
        <w:spacing w:after="0" w:before="40"/>
      </w:pPr>
      <w:r>
        <w:t xml:space="preserve"/>
      </w:r>
    </w:p>
    <w:p>
      <w:pPr>
        <w:spacing w:after="80" w:before="60"/>
        <w:ind w:left="360"/>
      </w:pPr>
      <w:r>
        <w:rPr>
          <w:rFonts w:ascii="Arial" w:cs="Arial" w:eastAsia="Arial" w:hAnsi="Arial"/>
          <w:i/>
          <w:iCs/>
          <w:color w:val="666666"/>
          <w:sz w:val="18"/>
          <w:szCs w:val="18"/>
        </w:rPr>
        <w:t xml:space="preserve">Data partner: Community Air Mobility Initiative (CAMI / Yolanka Wulff) conducts direct community engagement research and maintains records of municipal UAM education programs. AirIndex should establish a data sharing relationship with CAMI to improve scoring accuracy on this factor.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050508" w:val="clear"/>
            <w:tcMar>
              <w:top w:type="dxa" w:w="100"/>
              <w:left w:type="dxa" w:w="160"/>
              <w:bottom w:type="dxa" w:w="100"/>
              <w:right w:type="dxa" w:w="160"/>
            </w:tcMar>
            <w:vAlign w:val="center"/>
          </w:tcPr>
          <w:p>
            <w:pPr>
              <w:jc w:val="center"/>
            </w:pPr>
            <w:r>
              <w:rPr>
                <w:rFonts w:ascii="Arial" w:cs="Arial" w:eastAsia="Arial" w:hAnsi="Arial"/>
                <w:b/>
                <w:bCs/>
                <w:color w:val="00D4FF"/>
                <w:sz w:val="20"/>
                <w:szCs w:val="20"/>
              </w:rPr>
              <w:t xml:space="preserve">F7</w:t>
            </w:r>
          </w:p>
        </w:tc>
        <w:tc>
          <w:tcPr>
            <w:tcW w:type="dxa" w:w="756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r>
              <w:rPr>
                <w:rFonts w:ascii="Arial" w:cs="Arial" w:eastAsia="Arial" w:hAnsi="Arial"/>
                <w:b/>
                <w:bCs/>
                <w:color w:val="050508"/>
                <w:sz w:val="22"/>
                <w:szCs w:val="22"/>
              </w:rPr>
              <w:t xml:space="preserve">Economic &amp; Demographic Demand Indicators</w:t>
            </w:r>
          </w:p>
        </w:tc>
        <w:tc>
          <w:tcPr>
            <w:tcW w:type="dxa" w:w="1200"/>
            <w:tcBorders>
              <w:top w:val="none" w:color="FFFFFF" w:sz="0"/>
              <w:left w:val="none" w:color="FFFFFF" w:sz="0"/>
              <w:bottom w:val="none" w:color="FFFFFF" w:sz="0"/>
              <w:right w:val="none" w:color="FFFFFF" w:sz="0"/>
            </w:tcBorders>
            <w:shd w:fill="F0F8FF" w:val="clear"/>
            <w:tcMar>
              <w:top w:type="dxa" w:w="100"/>
              <w:left w:type="dxa" w:w="160"/>
              <w:bottom w:type="dxa" w:w="100"/>
              <w:right w:type="dxa" w:w="160"/>
            </w:tcMar>
            <w:vAlign w:val="center"/>
          </w:tcPr>
          <w:p>
            <w:pPr>
              <w:jc w:val="right"/>
            </w:pPr>
            <w:r>
              <w:rPr>
                <w:rFonts w:ascii="Arial" w:cs="Arial" w:eastAsia="Arial" w:hAnsi="Arial"/>
                <w:b/>
                <w:bCs/>
                <w:color w:val="00C48C"/>
                <w:sz w:val="16"/>
                <w:szCs w:val="16"/>
              </w:rPr>
              <w:t xml:space="preserve">ACTIVE</w:t>
            </w:r>
          </w:p>
        </w:tc>
      </w:tr>
    </w:tbl>
    <w:p>
      <w:pPr>
        <w:spacing w:after="0" w:before="60"/>
      </w:pPr>
      <w:r>
        <w:t xml:space="preserve"/>
      </w:r>
    </w:p>
    <w:p>
      <w:pPr>
        <w:spacing w:after="80" w:before="60"/>
      </w:pPr>
      <w:r>
        <w:rPr>
          <w:rFonts w:ascii="Arial" w:cs="Arial" w:eastAsia="Arial" w:hAnsi="Arial"/>
          <w:color w:val="333333"/>
          <w:sz w:val="20"/>
          <w:szCs w:val="20"/>
        </w:rPr>
        <w:t xml:space="preserve">Market demand indicators validate that a city has the economic and demographic characteristics to support commercial UAM ridership. This factor ensures AirIndex is not recommending readiness improvements in markets with insufficient underlying demand.</w:t>
      </w:r>
    </w:p>
    <w:p>
      <w:pPr>
        <w:spacing w:after="0" w:before="40"/>
      </w:pPr>
      <w:r>
        <w:t xml:space="preserve"/>
      </w:r>
    </w:p>
    <w:p>
      <w:pPr>
        <w:spacing w:after="80" w:before="200"/>
      </w:pPr>
      <w:r>
        <w:rPr>
          <w:rFonts w:ascii="Arial" w:cs="Arial" w:eastAsia="Arial" w:hAnsi="Arial"/>
          <w:b/>
          <w:bCs/>
          <w:color w:val="050508"/>
          <w:sz w:val="22"/>
          <w:szCs w:val="22"/>
        </w:rPr>
        <w:t xml:space="preserve">Sub-Factors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Metro Population &amp; Density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 Census Bureau, ACS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GDP &amp; Income Profile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BEA, US Census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4%</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Traffic Congestion Index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INRIX, TomTom Traffic Index</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4%</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Airport Connectivity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FAA enplanement data, OAG schedules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Tech / Innovation Ecosystem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VC investment data, Brookings metro rankings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4%</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8" w:val="clear"/>
            <w:tcMar>
              <w:top w:type="dxa" w:w="120"/>
              <w:left w:type="dxa" w:w="200"/>
              <w:bottom w:type="dxa" w:w="120"/>
              <w:right w:type="dxa" w:w="200"/>
            </w:tcMar>
          </w:tcPr>
          <w:p>
            <w:r>
              <w:rPr>
                <w:rFonts w:ascii="Arial" w:cs="Arial" w:eastAsia="Arial" w:hAnsi="Arial"/>
                <w:b/>
                <w:bCs/>
                <w:color w:val="FFFFFF"/>
                <w:sz w:val="24"/>
                <w:szCs w:val="24"/>
              </w:rPr>
              <w:t xml:space="preserve">SECTION 03  /  DATA PROTOCOLS &amp; UPDATE SCHEDULE</w:t>
            </w:r>
          </w:p>
        </w:tc>
      </w:tr>
    </w:tbl>
    <w:p>
      <w:pPr>
        <w:spacing w:after="0" w:before="80"/>
      </w:pPr>
      <w:r>
        <w:t xml:space="preserve"/>
      </w:r>
    </w:p>
    <w:p>
      <w:pPr>
        <w:pStyle w:val="Heading2"/>
        <w:spacing w:after="120" w:before="240"/>
      </w:pPr>
      <w:r>
        <w:rPr>
          <w:rFonts w:ascii="Arial" w:cs="Arial" w:eastAsia="Arial" w:hAnsi="Arial"/>
          <w:b/>
          <w:bCs/>
          <w:color w:val="050508"/>
          <w:sz w:val="26"/>
          <w:szCs w:val="26"/>
        </w:rPr>
        <w:t xml:space="preserve">Data Sourcing Hierarchy</w:t>
      </w:r>
    </w:p>
    <w:p>
      <w:pPr>
        <w:spacing w:after="80" w:before="60"/>
      </w:pPr>
      <w:r>
        <w:rPr>
          <w:rFonts w:ascii="Arial" w:cs="Arial" w:eastAsia="Arial" w:hAnsi="Arial"/>
          <w:color w:val="333333"/>
          <w:sz w:val="20"/>
          <w:szCs w:val="20"/>
        </w:rPr>
        <w:t xml:space="preserve">AirIndex prioritizes data sources in the following order of reliability:</w:t>
      </w:r>
    </w:p>
    <w:p>
      <w:pPr>
        <w:pStyle w:val="ListParagraph"/>
        <w:numPr>
          <w:ilvl w:val="0"/>
          <w:numId w:val="2"/>
        </w:numPr>
        <w:spacing w:after="40" w:before="40"/>
      </w:pPr>
      <w:r>
        <w:rPr>
          <w:rFonts w:ascii="Arial" w:cs="Arial" w:eastAsia="Arial" w:hAnsi="Arial"/>
          <w:color w:val="333333"/>
          <w:sz w:val="20"/>
          <w:szCs w:val="20"/>
        </w:rPr>
        <w:t xml:space="preserve">Primary: Government and regulatory records (FAA, state DOT, city planning departments, utility PUC filings)</w:t>
      </w:r>
    </w:p>
    <w:p>
      <w:pPr>
        <w:pStyle w:val="ListParagraph"/>
        <w:numPr>
          <w:ilvl w:val="0"/>
          <w:numId w:val="2"/>
        </w:numPr>
        <w:spacing w:after="40" w:before="40"/>
      </w:pPr>
      <w:r>
        <w:rPr>
          <w:rFonts w:ascii="Arial" w:cs="Arial" w:eastAsia="Arial" w:hAnsi="Arial"/>
          <w:color w:val="333333"/>
          <w:sz w:val="20"/>
          <w:szCs w:val="20"/>
        </w:rPr>
        <w:t xml:space="preserve">Secondary: Official operator and developer announcements (press releases, SEC filings, investor presentations)</w:t>
      </w:r>
    </w:p>
    <w:p>
      <w:pPr>
        <w:pStyle w:val="ListParagraph"/>
        <w:numPr>
          <w:ilvl w:val="0"/>
          <w:numId w:val="2"/>
        </w:numPr>
        <w:spacing w:after="40" w:before="40"/>
      </w:pPr>
      <w:r>
        <w:rPr>
          <w:rFonts w:ascii="Arial" w:cs="Arial" w:eastAsia="Arial" w:hAnsi="Arial"/>
          <w:color w:val="333333"/>
          <w:sz w:val="20"/>
          <w:szCs w:val="20"/>
        </w:rPr>
        <w:t xml:space="preserve">Tertiary: Verified news reporting from aviation trade press (Aviation Week, Vertical Flight Society publications, AviationVoices)</w:t>
      </w:r>
    </w:p>
    <w:p>
      <w:pPr>
        <w:pStyle w:val="ListParagraph"/>
        <w:numPr>
          <w:ilvl w:val="0"/>
          <w:numId w:val="2"/>
        </w:numPr>
        <w:spacing w:after="40" w:before="40"/>
      </w:pPr>
      <w:r>
        <w:rPr>
          <w:rFonts w:ascii="Arial" w:cs="Arial" w:eastAsia="Arial" w:hAnsi="Arial"/>
          <w:color w:val="333333"/>
          <w:sz w:val="20"/>
          <w:szCs w:val="20"/>
        </w:rPr>
        <w:t xml:space="preserve">Supplementary: Third-party platforms (AAM Reality Index for operator/vertiport data, CAMI for community engagement data, VertiSim for site infrastructure data)</w:t>
      </w:r>
    </w:p>
    <w:p>
      <w:pPr>
        <w:pStyle w:val="ListParagraph"/>
        <w:numPr>
          <w:ilvl w:val="0"/>
          <w:numId w:val="2"/>
        </w:numPr>
        <w:spacing w:after="40" w:before="40"/>
      </w:pPr>
      <w:r>
        <w:rPr>
          <w:rFonts w:ascii="Arial" w:cs="Arial" w:eastAsia="Arial" w:hAnsi="Arial"/>
          <w:color w:val="333333"/>
          <w:sz w:val="20"/>
          <w:szCs w:val="20"/>
        </w:rPr>
        <w:t xml:space="preserve">Manual outreach: Direct city and planning department contact for local policy and workshop history data</w:t>
      </w:r>
    </w:p>
    <w:p>
      <w:pPr>
        <w:spacing w:after="0" w:before="60"/>
      </w:pPr>
      <w:r>
        <w:t xml:space="preserve"/>
      </w:r>
    </w:p>
    <w:p>
      <w:pPr>
        <w:pStyle w:val="Heading2"/>
        <w:spacing w:after="120" w:before="240"/>
      </w:pPr>
      <w:r>
        <w:rPr>
          <w:rFonts w:ascii="Arial" w:cs="Arial" w:eastAsia="Arial" w:hAnsi="Arial"/>
          <w:b/>
          <w:bCs/>
          <w:color w:val="050508"/>
          <w:sz w:val="26"/>
          <w:szCs w:val="26"/>
        </w:rPr>
        <w:t xml:space="preserve">Update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Operator commitment data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AAM Reality Index, operator press releases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Media sentiment / community data</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News archive, CAMI</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Monthly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FAA airspace / LAANC data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FAA official databases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Monthly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Zoning &amp; local policy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City websites, direct outreach</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Grid infrastructure data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EIA, utility GIS, PUC filings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Municipal workshop history</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City council records, FOIA</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Quarterly</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State DOT alignment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State DOT strategic plans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Semi-annual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Legislation quality review</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State legislature records, legal analysis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Demographic &amp; economic data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Census, BEA, INRIX</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bl>
    <w:p>
      <w:pPr>
        <w:spacing w:after="0" w:before="80"/>
      </w:pPr>
      <w:r>
        <w:t xml:space="preserve"/>
      </w:r>
    </w:p>
    <w:p>
      <w:pPr>
        <w:pStyle w:val="Heading2"/>
        <w:spacing w:after="120" w:before="240"/>
      </w:pPr>
      <w:r>
        <w:rPr>
          <w:rFonts w:ascii="Arial" w:cs="Arial" w:eastAsia="Arial" w:hAnsi="Arial"/>
          <w:b/>
          <w:bCs/>
          <w:color w:val="050508"/>
          <w:sz w:val="26"/>
          <w:szCs w:val="26"/>
        </w:rPr>
        <w:t xml:space="preserve">Gap in Current Data Coverage</w:t>
      </w:r>
    </w:p>
    <w:p>
      <w:pPr>
        <w:spacing w:after="80" w:before="60"/>
      </w:pPr>
      <w:r>
        <w:rPr>
          <w:rFonts w:ascii="Arial" w:cs="Arial" w:eastAsia="Arial" w:hAnsi="Arial"/>
          <w:color w:val="333333"/>
          <w:sz w:val="20"/>
          <w:szCs w:val="20"/>
        </w:rPr>
        <w:t xml:space="preserve">The following data points represent known gaps in current AirIndex dataset coverage. These should be prioritized in the next data collection cycle:</w:t>
      </w:r>
    </w:p>
    <w:p>
      <w:pPr>
        <w:pStyle w:val="ListParagraph"/>
        <w:numPr>
          <w:ilvl w:val="0"/>
          <w:numId w:val="2"/>
        </w:numPr>
        <w:spacing w:after="40" w:before="40"/>
      </w:pPr>
      <w:r>
        <w:rPr>
          <w:rFonts w:ascii="Arial" w:cs="Arial" w:eastAsia="Arial" w:hAnsi="Arial"/>
          <w:color w:val="333333"/>
          <w:sz w:val="20"/>
          <w:szCs w:val="20"/>
        </w:rPr>
        <w:t xml:space="preserve">Local policy documents — requires direct outreach to planning departments in all 20 current markets</w:t>
      </w:r>
    </w:p>
    <w:p>
      <w:pPr>
        <w:pStyle w:val="ListParagraph"/>
        <w:numPr>
          <w:ilvl w:val="0"/>
          <w:numId w:val="2"/>
        </w:numPr>
        <w:spacing w:after="40" w:before="40"/>
      </w:pPr>
      <w:r>
        <w:rPr>
          <w:rFonts w:ascii="Arial" w:cs="Arial" w:eastAsia="Arial" w:hAnsi="Arial"/>
          <w:color w:val="333333"/>
          <w:sz w:val="20"/>
          <w:szCs w:val="20"/>
        </w:rPr>
        <w:t xml:space="preserve">Municipal workshop history — requires city council record review or direct contact</w:t>
      </w:r>
    </w:p>
    <w:p>
      <w:pPr>
        <w:pStyle w:val="ListParagraph"/>
        <w:numPr>
          <w:ilvl w:val="0"/>
          <w:numId w:val="2"/>
        </w:numPr>
        <w:spacing w:after="40" w:before="40"/>
      </w:pPr>
      <w:r>
        <w:rPr>
          <w:rFonts w:ascii="Arial" w:cs="Arial" w:eastAsia="Arial" w:hAnsi="Arial"/>
          <w:color w:val="333333"/>
          <w:sz w:val="20"/>
          <w:szCs w:val="20"/>
        </w:rPr>
        <w:t xml:space="preserve">Grid infrastructure proximity — requires EIA utility layer mapping for each identified vertiport site</w:t>
      </w:r>
    </w:p>
    <w:p>
      <w:pPr>
        <w:pStyle w:val="ListParagraph"/>
        <w:numPr>
          <w:ilvl w:val="0"/>
          <w:numId w:val="2"/>
        </w:numPr>
        <w:spacing w:after="40" w:before="40"/>
      </w:pPr>
      <w:r>
        <w:rPr>
          <w:rFonts w:ascii="Arial" w:cs="Arial" w:eastAsia="Arial" w:hAnsi="Arial"/>
          <w:color w:val="333333"/>
          <w:sz w:val="20"/>
          <w:szCs w:val="20"/>
        </w:rPr>
        <w:t xml:space="preserve">Utility AAM engagement — limited public data; requires direct utility contact or news search</w:t>
      </w:r>
    </w:p>
    <w:p>
      <w:pPr>
        <w:pStyle w:val="ListParagraph"/>
        <w:numPr>
          <w:ilvl w:val="0"/>
          <w:numId w:val="2"/>
        </w:numPr>
        <w:spacing w:after="40" w:before="40"/>
      </w:pPr>
      <w:r>
        <w:rPr>
          <w:rFonts w:ascii="Arial" w:cs="Arial" w:eastAsia="Arial" w:hAnsi="Arial"/>
          <w:color w:val="333333"/>
          <w:sz w:val="20"/>
          <w:szCs w:val="20"/>
        </w:rPr>
        <w:t xml:space="preserve">Planning department awareness — requires direct outreach; no public data source available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8" w:val="clear"/>
            <w:tcMar>
              <w:top w:type="dxa" w:w="120"/>
              <w:left w:type="dxa" w:w="200"/>
              <w:bottom w:type="dxa" w:w="120"/>
              <w:right w:type="dxa" w:w="200"/>
            </w:tcMar>
          </w:tcPr>
          <w:p>
            <w:r>
              <w:rPr>
                <w:rFonts w:ascii="Arial" w:cs="Arial" w:eastAsia="Arial" w:hAnsi="Arial"/>
                <w:b/>
                <w:bCs/>
                <w:color w:val="FFFFFF"/>
                <w:sz w:val="24"/>
                <w:szCs w:val="24"/>
              </w:rPr>
              <w:t xml:space="preserve">SECTION 04  /  GAP REPORT FRAMEWORK</w:t>
            </w:r>
          </w:p>
        </w:tc>
      </w:tr>
    </w:tbl>
    <w:p>
      <w:pPr>
        <w:spacing w:after="0" w:before="80"/>
      </w:pPr>
      <w:r>
        <w:t xml:space="preserve"/>
      </w:r>
    </w:p>
    <w:p>
      <w:pPr>
        <w:spacing w:after="80" w:before="60"/>
      </w:pPr>
      <w:r>
        <w:rPr>
          <w:rFonts w:ascii="Arial" w:cs="Arial" w:eastAsia="Arial" w:hAnsi="Arial"/>
          <w:color w:val="333333"/>
          <w:sz w:val="20"/>
          <w:szCs w:val="20"/>
        </w:rPr>
        <w:t xml:space="preserve">The Gap Report is AirIndex's primary deliverable for city and municipal clients. It translates the platform score into an actionable roadmap. Every Gap Report should be structured around the factors where the city scores below benchmark — and every recommendation should tie to a specific, achievable action.</w:t>
      </w:r>
    </w:p>
    <w:p>
      <w:pPr>
        <w:spacing w:after="0" w:before="40"/>
      </w:pPr>
      <w:r>
        <w:t xml:space="preserve"/>
      </w:r>
    </w:p>
    <w:p>
      <w:pPr>
        <w:pStyle w:val="Heading2"/>
        <w:spacing w:after="120" w:before="240"/>
      </w:pPr>
      <w:r>
        <w:rPr>
          <w:rFonts w:ascii="Arial" w:cs="Arial" w:eastAsia="Arial" w:hAnsi="Arial"/>
          <w:b/>
          <w:bCs/>
          <w:color w:val="050508"/>
          <w:sz w:val="26"/>
          <w:szCs w:val="26"/>
        </w:rPr>
        <w:t xml:space="preserve">Standard Gap Report Structure</w:t>
      </w:r>
    </w:p>
    <w:p>
      <w:pPr>
        <w:pStyle w:val="ListParagraph"/>
        <w:numPr>
          <w:ilvl w:val="0"/>
          <w:numId w:val="2"/>
        </w:numPr>
        <w:spacing w:after="40" w:before="40"/>
      </w:pPr>
      <w:r>
        <w:rPr>
          <w:rFonts w:ascii="Arial" w:cs="Arial" w:eastAsia="Arial" w:hAnsi="Arial"/>
          <w:color w:val="333333"/>
          <w:sz w:val="20"/>
          <w:szCs w:val="20"/>
        </w:rPr>
        <w:t xml:space="preserve">Executive summary — current score, tier, and headline gap</w:t>
      </w:r>
    </w:p>
    <w:p>
      <w:pPr>
        <w:pStyle w:val="ListParagraph"/>
        <w:numPr>
          <w:ilvl w:val="0"/>
          <w:numId w:val="2"/>
        </w:numPr>
        <w:spacing w:after="40" w:before="40"/>
      </w:pPr>
      <w:r>
        <w:rPr>
          <w:rFonts w:ascii="Arial" w:cs="Arial" w:eastAsia="Arial" w:hAnsi="Arial"/>
          <w:color w:val="333333"/>
          <w:sz w:val="20"/>
          <w:szCs w:val="20"/>
        </w:rPr>
        <w:t xml:space="preserve">Factor-by-factor breakdown — score vs. benchmark for each of the 7 factors</w:t>
      </w:r>
    </w:p>
    <w:p>
      <w:pPr>
        <w:pStyle w:val="ListParagraph"/>
        <w:numPr>
          <w:ilvl w:val="0"/>
          <w:numId w:val="2"/>
        </w:numPr>
        <w:spacing w:after="40" w:before="40"/>
      </w:pPr>
      <w:r>
        <w:rPr>
          <w:rFonts w:ascii="Arial" w:cs="Arial" w:eastAsia="Arial" w:hAnsi="Arial"/>
          <w:color w:val="333333"/>
          <w:sz w:val="20"/>
          <w:szCs w:val="20"/>
        </w:rPr>
        <w:t xml:space="preserve">Priority gap identification — the 2-3 factors with highest point improvement potential</w:t>
      </w:r>
    </w:p>
    <w:p>
      <w:pPr>
        <w:pStyle w:val="ListParagraph"/>
        <w:numPr>
          <w:ilvl w:val="0"/>
          <w:numId w:val="2"/>
        </w:numPr>
        <w:spacing w:after="40" w:before="40"/>
      </w:pPr>
      <w:r>
        <w:rPr>
          <w:rFonts w:ascii="Arial" w:cs="Arial" w:eastAsia="Arial" w:hAnsi="Arial"/>
          <w:color w:val="333333"/>
          <w:sz w:val="20"/>
          <w:szCs w:val="20"/>
        </w:rPr>
        <w:t xml:space="preserve">Specific recommendations — actionable steps tied to each gap, with responsible parties identified</w:t>
      </w:r>
    </w:p>
    <w:p>
      <w:pPr>
        <w:pStyle w:val="ListParagraph"/>
        <w:numPr>
          <w:ilvl w:val="0"/>
          <w:numId w:val="2"/>
        </w:numPr>
        <w:spacing w:after="40" w:before="40"/>
      </w:pPr>
      <w:r>
        <w:rPr>
          <w:rFonts w:ascii="Arial" w:cs="Arial" w:eastAsia="Arial" w:hAnsi="Arial"/>
          <w:color w:val="333333"/>
          <w:sz w:val="20"/>
          <w:szCs w:val="20"/>
        </w:rPr>
        <w:t xml:space="preserve">Federal grant language — copy-paste ready language for FAA/DOT grant applications referencing specific gaps</w:t>
      </w:r>
    </w:p>
    <w:p>
      <w:pPr>
        <w:pStyle w:val="ListParagraph"/>
        <w:numPr>
          <w:ilvl w:val="0"/>
          <w:numId w:val="2"/>
        </w:numPr>
        <w:spacing w:after="40" w:before="40"/>
      </w:pPr>
      <w:r>
        <w:rPr>
          <w:rFonts w:ascii="Arial" w:cs="Arial" w:eastAsia="Arial" w:hAnsi="Arial"/>
          <w:color w:val="333333"/>
          <w:sz w:val="20"/>
          <w:szCs w:val="20"/>
        </w:rPr>
        <w:t xml:space="preserve">Comparable markets — cities that have closed similar gaps and how they did it</w:t>
      </w:r>
    </w:p>
    <w:p>
      <w:pPr>
        <w:pStyle w:val="ListParagraph"/>
        <w:numPr>
          <w:ilvl w:val="0"/>
          <w:numId w:val="2"/>
        </w:numPr>
        <w:spacing w:after="40" w:before="40"/>
      </w:pPr>
      <w:r>
        <w:rPr>
          <w:rFonts w:ascii="Arial" w:cs="Arial" w:eastAsia="Arial" w:hAnsi="Arial"/>
          <w:color w:val="333333"/>
          <w:sz w:val="20"/>
          <w:szCs w:val="20"/>
        </w:rPr>
        <w:t xml:space="preserve">12-month roadmap — sequenced action plan with realistic milestones</w:t>
      </w:r>
    </w:p>
    <w:p>
      <w:pPr>
        <w:spacing w:after="0" w:before="60"/>
      </w:pPr>
      <w:r>
        <w:t xml:space="preserve"/>
      </w:r>
    </w:p>
    <w:p>
      <w:pPr>
        <w:pStyle w:val="Heading2"/>
        <w:spacing w:after="120" w:before="240"/>
      </w:pPr>
      <w:r>
        <w:rPr>
          <w:rFonts w:ascii="Arial" w:cs="Arial" w:eastAsia="Arial" w:hAnsi="Arial"/>
          <w:b/>
          <w:bCs/>
          <w:color w:val="050508"/>
          <w:sz w:val="26"/>
          <w:szCs w:val="26"/>
        </w:rPr>
        <w:t xml:space="preserve">The 'Do You Have a Policy?' Opener</w:t>
      </w:r>
    </w:p>
    <w:p>
      <w:pPr>
        <w:spacing w:after="80" w:before="60"/>
      </w:pPr>
      <w:r>
        <w:rPr>
          <w:rFonts w:ascii="Arial" w:cs="Arial" w:eastAsia="Arial" w:hAnsi="Arial"/>
          <w:color w:val="333333"/>
          <w:sz w:val="20"/>
          <w:szCs w:val="20"/>
        </w:rPr>
        <w:t xml:space="preserve">Rex Alexander's field-tested question for engaging city officials: 'Do you have a policy?' In almost every current market the answer is no. The Gap Report answers that question with a framework the city can adopt — which positions AirIndex as a partner in the city's UAM readiness journey, not just a rating platform.</w:t>
      </w:r>
    </w:p>
    <w:p>
      <w:pPr>
        <w:spacing w:after="0" w:before="60"/>
      </w:pPr>
      <w:r>
        <w:t xml:space="preserve"/>
      </w:r>
    </w:p>
    <w:p>
      <w:pPr>
        <w:pStyle w:val="Heading2"/>
        <w:spacing w:after="120" w:before="240"/>
      </w:pPr>
      <w:r>
        <w:rPr>
          <w:rFonts w:ascii="Arial" w:cs="Arial" w:eastAsia="Arial" w:hAnsi="Arial"/>
          <w:b/>
          <w:bCs/>
          <w:color w:val="050508"/>
          <w:sz w:val="26"/>
          <w:szCs w:val="26"/>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Standard Gap Report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PDF + 30-min briefing call</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$2,500 – $5,000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Enhanced Gap Report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Custom roadmap + grant language + quarterly updates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$5,000 – $15,000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Monitoring Retainer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Quarterly score updates + alerts on factor changes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$1,200 – $2,400/yr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Policy Framework Package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Full municipal UAM policy document + Gap Report</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$15,000 – $25,000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508" w:val="clear"/>
            <w:tcMar>
              <w:top w:type="dxa" w:w="120"/>
              <w:left w:type="dxa" w:w="200"/>
              <w:bottom w:type="dxa" w:w="120"/>
              <w:right w:type="dxa" w:w="200"/>
            </w:tcMar>
          </w:tcPr>
          <w:p>
            <w:r>
              <w:rPr>
                <w:rFonts w:ascii="Arial" w:cs="Arial" w:eastAsia="Arial" w:hAnsi="Arial"/>
                <w:b/>
                <w:bCs/>
                <w:color w:val="FFFFFF"/>
                <w:sz w:val="24"/>
                <w:szCs w:val="24"/>
              </w:rPr>
              <w:t xml:space="preserve">SECTION 05  /  PENDING UPDATES — AWAITING INCOMING DATA</w:t>
            </w:r>
          </w:p>
        </w:tc>
      </w:tr>
    </w:tbl>
    <w:p>
      <w:pPr>
        <w:spacing w:after="0" w:before="80"/>
      </w:pPr>
      <w:r>
        <w:t xml:space="preserve"/>
      </w:r>
    </w:p>
    <w:p>
      <w:pPr>
        <w:spacing w:after="80" w:before="60"/>
      </w:pPr>
      <w:r>
        <w:rPr>
          <w:rFonts w:ascii="Arial" w:cs="Arial" w:eastAsia="Arial" w:hAnsi="Arial"/>
          <w:color w:val="333333"/>
          <w:sz w:val="20"/>
          <w:szCs w:val="20"/>
        </w:rPr>
        <w:t xml:space="preserve">The following methodology updates are pending receipt of publications and research from Rex Alexander, Mike Hirschberg, and affiliated organizations. This section should be updated as documents are received.</w:t>
      </w:r>
    </w:p>
    <w:p>
      <w:pPr>
        <w:spacing w:after="0" w:before="40"/>
      </w:pPr>
      <w:r>
        <w:t xml:space="preserve"/>
      </w:r>
    </w:p>
    <w:p>
      <w:pPr>
        <w:pStyle w:val="Heading2"/>
        <w:spacing w:after="120" w:before="240"/>
      </w:pPr>
      <w:r>
        <w:rPr>
          <w:rFonts w:ascii="Arial" w:cs="Arial" w:eastAsia="Arial" w:hAnsi="Arial"/>
          <w:b/>
          <w:bCs/>
          <w:color w:val="050508"/>
          <w:sz w:val="26"/>
          <w:szCs w:val="26"/>
        </w:rPr>
        <w:t xml:space="preserve">Pending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960"/>
        <w:gridCol w:w="1800"/>
      </w:tblGrid>
      <w:tr>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SUB-FACTOR</w:t>
            </w:r>
          </w:p>
        </w:tc>
        <w:tc>
          <w:tcPr>
            <w:tcW w:type="dxa" w:w="2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196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UPDATE FREQUENCY</w:t>
            </w:r>
          </w:p>
        </w:tc>
        <w:tc>
          <w:tcPr>
            <w:tcW w:type="dxa" w:w="1800"/>
            <w:tcBorders>
              <w:top w:val="single" w:color="DDDDDD" w:sz="1"/>
              <w:left w:val="single" w:color="DDDDDD" w:sz="1"/>
              <w:bottom w:val="single" w:color="DDDDDD" w:sz="1"/>
              <w:right w:val="single" w:color="DDDDDD" w:sz="1"/>
            </w:tcBorders>
            <w:shd w:fill="050508"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Rex Alexander / VFS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Vertiport infrastructure publications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Expected: TBD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Mike Hirschberg / VFS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AAM ecosystem research and reports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Expected: TBD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CAMI / Yolanka Wulff</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Community engagement research</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 intro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NEXA / Michael Dyment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UAM Geomatics data</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 intro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0508"/>
                <w:sz w:val="18"/>
                <w:szCs w:val="18"/>
              </w:rPr>
              <w:t xml:space="preserve">VertiSim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Vertiport simulation / site data</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Pending intro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0C48C"/>
                <w:sz w:val="18"/>
                <w:szCs w:val="18"/>
              </w:rPr>
              <w:t xml:space="preser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50508"/>
                <w:sz w:val="18"/>
                <w:szCs w:val="18"/>
              </w:rPr>
              <w:t xml:space="preserve">NAAMCE / Ted Angel</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Ohio AAM Center of Excellence data</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Pending intro (Mike)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0C48C"/>
                <w:sz w:val="18"/>
                <w:szCs w:val="18"/>
              </w:rPr>
              <w:t xml:space="preserve">—</w:t>
            </w:r>
          </w:p>
        </w:tc>
      </w:tr>
    </w:tbl>
    <w:p>
      <w:pPr>
        <w:spacing w:after="0" w:before="60"/>
      </w:pPr>
      <w:r>
        <w:t xml:space="preserve"/>
      </w:r>
    </w:p>
    <w:p>
      <w:pPr>
        <w:spacing w:after="80" w:before="60"/>
        <w:ind w:left="360"/>
      </w:pPr>
      <w:r>
        <w:rPr>
          <w:rFonts w:ascii="Arial" w:cs="Arial" w:eastAsia="Arial" w:hAnsi="Arial"/>
          <w:i/>
          <w:iCs/>
          <w:color w:val="666666"/>
          <w:sz w:val="18"/>
          <w:szCs w:val="18"/>
        </w:rPr>
        <w:t xml:space="preserve">When documents are received, review against current factor definitions and update sub-factor weights accordingly. Flag any new factors or data sources that should be incorporated before the April 2026 paid tier launch.</w:t>
      </w:r>
    </w:p>
    <w:p>
      <w:pPr>
        <w:spacing w:after="0" w:before="80"/>
      </w:pPr>
      <w:r>
        <w:t xml:space="preserve"/>
      </w:r>
    </w:p>
    <w:p>
      <w:pPr>
        <w:pBdr>
          <w:bottom w:val="single" w:color="00D4FF" w:sz="4" w:space="1"/>
        </w:pBdr>
        <w:spacing w:after="160" w:before="160"/>
      </w:pPr>
      <w:r>
        <w:t xml:space="preserve"/>
      </w:r>
    </w:p>
    <w:p>
      <w:pPr>
        <w:spacing w:after="40" w:before="80"/>
        <w:jc w:val="center"/>
      </w:pPr>
      <w:r>
        <w:rPr>
          <w:rFonts w:ascii="Arial" w:cs="Arial" w:eastAsia="Arial" w:hAnsi="Arial"/>
          <w:color w:val="666666"/>
          <w:sz w:val="16"/>
          <w:szCs w:val="16"/>
        </w:rPr>
        <w:t xml:space="preserve">AirIndex  |  Vertical Data Group LLC  |  airindex.io  |  Methodology v2.0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5050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5050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2026-03-06T15:27:02.071Z</dcterms:created>
  <dcterms:modified xsi:type="dcterms:W3CDTF">2026-03-06T15:27:02.072Z</dcterms:modified>
</cp:coreProperties>
</file>

<file path=docProps/custom.xml><?xml version="1.0" encoding="utf-8"?>
<Properties xmlns="http://schemas.openxmlformats.org/officeDocument/2006/custom-properties" xmlns:vt="http://schemas.openxmlformats.org/officeDocument/2006/docPropsVTypes"/>
</file>