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Calibri" w:hAnsi="Calibri"/>
          <w:b/>
          <w:color w:val="1F3864"/>
          <w:sz w:val="60"/>
        </w:rPr>
        <w:t>Pardos Chicken</w:t>
      </w:r>
    </w:p>
    <w:p>
      <w:pPr>
        <w:spacing w:before="200"/>
        <w:jc w:val="center"/>
      </w:pPr>
      <w:r>
        <w:rPr>
          <w:rFonts w:ascii="Calibri" w:hAnsi="Calibri"/>
          <w:color w:val="2E5A9E"/>
          <w:sz w:val="30"/>
        </w:rPr>
        <w:t>Pregunta 4 — Diagramas de Flujo actualizados</w:t>
      </w:r>
    </w:p>
    <w:p>
      <w:pPr>
        <w:spacing w:before="80"/>
        <w:jc w:val="center"/>
      </w:pPr>
      <w:r>
        <w:rPr>
          <w:i/>
          <w:color w:val="555555"/>
          <w:sz w:val="21"/>
        </w:rPr>
        <w:t>Documento consolidado por el coordinador del grupo — un integrante por proceso operativo</w:t>
      </w:r>
    </w:p>
    <w:p/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2"/>
        <w:gridCol w:w="5669"/>
      </w:tblGrid>
      <w:tr>
        <w:tc>
          <w:tcPr>
            <w:tcW w:type="dxa" w:w="3402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shd w:val="clear" w:color="auto" w:fill="F7F9FB"/>
            <w:tcBorders>
              <w:top w:val="single" w:sz="4" w:space="0" w:color="B9C2CE"/>
              <w:left w:val="single" w:sz="4" w:space="0" w:color="B9C2CE"/>
              <w:bottom w:val="single" w:sz="4" w:space="0" w:color="B9C2CE"/>
              <w:right w:val="single" w:sz="4" w:space="0" w:color="B9C2CE"/>
            </w:tcBorders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</w:tcPr>
          <w:p>
            <w:r/>
            <w:r>
              <w:rPr>
                <w:rFonts w:ascii="Calibri" w:hAnsi="Calibri"/>
                <w:b/>
                <w:i w:val="0"/>
                <w:color w:val="1F3864"/>
                <w:sz w:val="20"/>
              </w:rPr>
              <w:t>Empresa analizada</w:t>
            </w:r>
          </w:p>
        </w:tc>
        <w:tc>
          <w:tcPr>
            <w:tcW w:type="dxa" w:w="5669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tcBorders>
              <w:top w:val="single" w:sz="4" w:space="0" w:color="B9C2CE"/>
              <w:left w:val="single" w:sz="4" w:space="0" w:color="B9C2CE"/>
              <w:bottom w:val="single" w:sz="4" w:space="0" w:color="B9C2CE"/>
              <w:right w:val="single" w:sz="4" w:space="0" w:color="B9C2CE"/>
            </w:tcBorders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Pardos Chicken</w:t>
            </w:r>
          </w:p>
        </w:tc>
      </w:tr>
      <w:tr>
        <w:tc>
          <w:tcPr>
            <w:tcW w:type="dxa" w:w="3402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shd w:val="clear" w:color="auto" w:fill="F7F9FB"/>
            <w:tcBorders>
              <w:top w:val="single" w:sz="4" w:space="0" w:color="B9C2CE"/>
              <w:left w:val="single" w:sz="4" w:space="0" w:color="B9C2CE"/>
              <w:bottom w:val="single" w:sz="4" w:space="0" w:color="B9C2CE"/>
              <w:right w:val="single" w:sz="4" w:space="0" w:color="B9C2CE"/>
            </w:tcBorders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</w:tcPr>
          <w:p>
            <w:r/>
            <w:r>
              <w:rPr>
                <w:rFonts w:ascii="Calibri" w:hAnsi="Calibri"/>
                <w:b/>
                <w:i w:val="0"/>
                <w:color w:val="1F3864"/>
                <w:sz w:val="20"/>
              </w:rPr>
              <w:t>Grupo</w:t>
            </w:r>
          </w:p>
        </w:tc>
        <w:tc>
          <w:tcPr>
            <w:tcW w:type="dxa" w:w="5669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tcBorders>
              <w:top w:val="single" w:sz="4" w:space="0" w:color="B9C2CE"/>
              <w:left w:val="single" w:sz="4" w:space="0" w:color="B9C2CE"/>
              <w:bottom w:val="single" w:sz="4" w:space="0" w:color="B9C2CE"/>
              <w:right w:val="single" w:sz="4" w:space="0" w:color="B9C2CE"/>
            </w:tcBorders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Grupo 1</w:t>
            </w:r>
          </w:p>
        </w:tc>
      </w:tr>
      <w:tr>
        <w:tc>
          <w:tcPr>
            <w:tcW w:type="dxa" w:w="3402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shd w:val="clear" w:color="auto" w:fill="F7F9FB"/>
            <w:tcBorders>
              <w:top w:val="single" w:sz="4" w:space="0" w:color="B9C2CE"/>
              <w:left w:val="single" w:sz="4" w:space="0" w:color="B9C2CE"/>
              <w:bottom w:val="single" w:sz="4" w:space="0" w:color="B9C2CE"/>
              <w:right w:val="single" w:sz="4" w:space="0" w:color="B9C2CE"/>
            </w:tcBorders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</w:tcPr>
          <w:p>
            <w:r/>
            <w:r>
              <w:rPr>
                <w:rFonts w:ascii="Calibri" w:hAnsi="Calibri"/>
                <w:b/>
                <w:i w:val="0"/>
                <w:color w:val="1F3864"/>
                <w:sz w:val="20"/>
              </w:rPr>
              <w:t>Coordinador del grupo</w:t>
            </w:r>
          </w:p>
        </w:tc>
        <w:tc>
          <w:tcPr>
            <w:tcW w:type="dxa" w:w="5669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tcBorders>
              <w:top w:val="single" w:sz="4" w:space="0" w:color="B9C2CE"/>
              <w:left w:val="single" w:sz="4" w:space="0" w:color="B9C2CE"/>
              <w:bottom w:val="single" w:sz="4" w:space="0" w:color="B9C2CE"/>
              <w:right w:val="single" w:sz="4" w:space="0" w:color="B9C2CE"/>
            </w:tcBorders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Paredes Aguirre, Jean Franco</w:t>
            </w:r>
          </w:p>
        </w:tc>
      </w:tr>
      <w:tr>
        <w:tc>
          <w:tcPr>
            <w:tcW w:type="dxa" w:w="3402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shd w:val="clear" w:color="auto" w:fill="F7F9FB"/>
            <w:tcBorders>
              <w:top w:val="single" w:sz="4" w:space="0" w:color="B9C2CE"/>
              <w:left w:val="single" w:sz="4" w:space="0" w:color="B9C2CE"/>
              <w:bottom w:val="single" w:sz="4" w:space="0" w:color="B9C2CE"/>
              <w:right w:val="single" w:sz="4" w:space="0" w:color="B9C2CE"/>
            </w:tcBorders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</w:tcPr>
          <w:p>
            <w:r/>
            <w:r>
              <w:rPr>
                <w:rFonts w:ascii="Calibri" w:hAnsi="Calibri"/>
                <w:b/>
                <w:i w:val="0"/>
                <w:color w:val="1F3864"/>
                <w:sz w:val="20"/>
              </w:rPr>
              <w:t>Curso</w:t>
            </w:r>
          </w:p>
        </w:tc>
        <w:tc>
          <w:tcPr>
            <w:tcW w:type="dxa" w:w="5669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tcBorders>
              <w:top w:val="single" w:sz="4" w:space="0" w:color="B9C2CE"/>
              <w:left w:val="single" w:sz="4" w:space="0" w:color="B9C2CE"/>
              <w:bottom w:val="single" w:sz="4" w:space="0" w:color="B9C2CE"/>
              <w:right w:val="single" w:sz="4" w:space="0" w:color="B9C2CE"/>
            </w:tcBorders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Análisis y Diseño de Procesos</w:t>
            </w:r>
          </w:p>
        </w:tc>
      </w:tr>
      <w:tr>
        <w:tc>
          <w:tcPr>
            <w:tcW w:type="dxa" w:w="3402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shd w:val="clear" w:color="auto" w:fill="F7F9FB"/>
            <w:tcBorders>
              <w:top w:val="single" w:sz="4" w:space="0" w:color="B9C2CE"/>
              <w:left w:val="single" w:sz="4" w:space="0" w:color="B9C2CE"/>
              <w:bottom w:val="single" w:sz="4" w:space="0" w:color="B9C2CE"/>
              <w:right w:val="single" w:sz="4" w:space="0" w:color="B9C2CE"/>
            </w:tcBorders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</w:tcPr>
          <w:p>
            <w:r/>
            <w:r>
              <w:rPr>
                <w:rFonts w:ascii="Calibri" w:hAnsi="Calibri"/>
                <w:b/>
                <w:i w:val="0"/>
                <w:color w:val="1F3864"/>
                <w:sz w:val="20"/>
              </w:rPr>
              <w:t>Entregable</w:t>
            </w:r>
          </w:p>
        </w:tc>
        <w:tc>
          <w:tcPr>
            <w:tcW w:type="dxa" w:w="5669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tcBorders>
              <w:top w:val="single" w:sz="4" w:space="0" w:color="B9C2CE"/>
              <w:left w:val="single" w:sz="4" w:space="0" w:color="B9C2CE"/>
              <w:bottom w:val="single" w:sz="4" w:space="0" w:color="B9C2CE"/>
              <w:right w:val="single" w:sz="4" w:space="0" w:color="B9C2CE"/>
            </w:tcBorders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Sesión 04 – Pregunta 4 (consolidado del grupo)</w:t>
            </w:r>
          </w:p>
        </w:tc>
      </w:tr>
    </w:tbl>
    <w:p/>
    <w:p>
      <w:pPr>
        <w:spacing w:before="200" w:after="80"/>
      </w:pPr>
      <w:r>
        <w:rPr>
          <w:rFonts w:ascii="Calibri" w:hAnsi="Calibri"/>
          <w:b/>
          <w:color w:val="152A4A"/>
          <w:sz w:val="23"/>
        </w:rPr>
        <w:t>Integrantes y proceso operativo a cargo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386"/>
        <w:gridCol w:w="3685"/>
      </w:tblGrid>
      <w:tr>
        <w:tc>
          <w:tcPr>
            <w:tcW w:type="dxa" w:w="5386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shd w:val="clear" w:color="auto" w:fill="1F3864"/>
            <w:tcBorders>
              <w:top w:val="single" w:sz="4" w:space="0" w:color="B9C2CE"/>
              <w:left w:val="single" w:sz="4" w:space="0" w:color="B9C2CE"/>
              <w:bottom w:val="single" w:sz="4" w:space="0" w:color="B9C2CE"/>
              <w:right w:val="single" w:sz="4" w:space="0" w:color="B9C2CE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Proceso operativo</w:t>
            </w:r>
          </w:p>
        </w:tc>
        <w:tc>
          <w:tcPr>
            <w:tcW w:type="dxa" w:w="3685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shd w:val="clear" w:color="auto" w:fill="1F3864"/>
            <w:tcBorders>
              <w:top w:val="single" w:sz="4" w:space="0" w:color="B9C2CE"/>
              <w:left w:val="single" w:sz="4" w:space="0" w:color="B9C2CE"/>
              <w:bottom w:val="single" w:sz="4" w:space="0" w:color="B9C2CE"/>
              <w:right w:val="single" w:sz="4" w:space="0" w:color="B9C2CE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Responsable</w:t>
            </w:r>
          </w:p>
        </w:tc>
      </w:tr>
      <w:tr>
        <w:tc>
          <w:tcPr>
            <w:tcW w:type="dxa" w:w="5386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shd w:val="clear" w:color="auto" w:fill="FFFFFF"/>
            <w:tcBorders>
              <w:top w:val="single" w:sz="4" w:space="0" w:color="B9C2CE"/>
              <w:left w:val="single" w:sz="4" w:space="0" w:color="B9C2CE"/>
              <w:bottom w:val="single" w:sz="4" w:space="0" w:color="B9C2CE"/>
              <w:right w:val="single" w:sz="4" w:space="0" w:color="B9C2CE"/>
            </w:tcBorders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O1 – Gestión comercial y de clientes</w:t>
            </w:r>
          </w:p>
        </w:tc>
        <w:tc>
          <w:tcPr>
            <w:tcW w:type="dxa" w:w="3685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shd w:val="clear" w:color="auto" w:fill="FFFFFF"/>
            <w:tcBorders>
              <w:top w:val="single" w:sz="4" w:space="0" w:color="B9C2CE"/>
              <w:left w:val="single" w:sz="4" w:space="0" w:color="B9C2CE"/>
              <w:bottom w:val="single" w:sz="4" w:space="0" w:color="B9C2CE"/>
              <w:right w:val="single" w:sz="4" w:space="0" w:color="B9C2CE"/>
            </w:tcBorders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Alcántara Gonzales, Alejandro</w:t>
            </w:r>
          </w:p>
        </w:tc>
      </w:tr>
      <w:tr>
        <w:tc>
          <w:tcPr>
            <w:tcW w:type="dxa" w:w="5386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shd w:val="clear" w:color="auto" w:fill="F7F9FB"/>
            <w:tcBorders>
              <w:top w:val="single" w:sz="4" w:space="0" w:color="B9C2CE"/>
              <w:left w:val="single" w:sz="4" w:space="0" w:color="B9C2CE"/>
              <w:bottom w:val="single" w:sz="4" w:space="0" w:color="B9C2CE"/>
              <w:right w:val="single" w:sz="4" w:space="0" w:color="B9C2CE"/>
            </w:tcBorders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O2 – Gestión de compras y abastecimiento</w:t>
            </w:r>
          </w:p>
        </w:tc>
        <w:tc>
          <w:tcPr>
            <w:tcW w:type="dxa" w:w="3685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shd w:val="clear" w:color="auto" w:fill="F7F9FB"/>
            <w:tcBorders>
              <w:top w:val="single" w:sz="4" w:space="0" w:color="B9C2CE"/>
              <w:left w:val="single" w:sz="4" w:space="0" w:color="B9C2CE"/>
              <w:bottom w:val="single" w:sz="4" w:space="0" w:color="B9C2CE"/>
              <w:right w:val="single" w:sz="4" w:space="0" w:color="B9C2CE"/>
            </w:tcBorders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Zavaleta Pérez, Flavio Alberto</w:t>
            </w:r>
          </w:p>
        </w:tc>
      </w:tr>
      <w:tr>
        <w:tc>
          <w:tcPr>
            <w:tcW w:type="dxa" w:w="5386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shd w:val="clear" w:color="auto" w:fill="FFFFFF"/>
            <w:tcBorders>
              <w:top w:val="single" w:sz="4" w:space="0" w:color="B9C2CE"/>
              <w:left w:val="single" w:sz="4" w:space="0" w:color="B9C2CE"/>
              <w:bottom w:val="single" w:sz="4" w:space="0" w:color="B9C2CE"/>
              <w:right w:val="single" w:sz="4" w:space="0" w:color="B9C2CE"/>
            </w:tcBorders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O3 – Gestión de inventarios y almacenamiento</w:t>
            </w:r>
          </w:p>
        </w:tc>
        <w:tc>
          <w:tcPr>
            <w:tcW w:type="dxa" w:w="3685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shd w:val="clear" w:color="auto" w:fill="FFFFFF"/>
            <w:tcBorders>
              <w:top w:val="single" w:sz="4" w:space="0" w:color="B9C2CE"/>
              <w:left w:val="single" w:sz="4" w:space="0" w:color="B9C2CE"/>
              <w:bottom w:val="single" w:sz="4" w:space="0" w:color="B9C2CE"/>
              <w:right w:val="single" w:sz="4" w:space="0" w:color="B9C2CE"/>
            </w:tcBorders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Arévalo Santos, Jhon Moisés</w:t>
            </w:r>
          </w:p>
        </w:tc>
      </w:tr>
      <w:tr>
        <w:tc>
          <w:tcPr>
            <w:tcW w:type="dxa" w:w="5386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shd w:val="clear" w:color="auto" w:fill="F7F9FB"/>
            <w:tcBorders>
              <w:top w:val="single" w:sz="4" w:space="0" w:color="B9C2CE"/>
              <w:left w:val="single" w:sz="4" w:space="0" w:color="B9C2CE"/>
              <w:bottom w:val="single" w:sz="4" w:space="0" w:color="B9C2CE"/>
              <w:right w:val="single" w:sz="4" w:space="0" w:color="B9C2CE"/>
            </w:tcBorders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O4 – Preparación y producción de alimentos</w:t>
            </w:r>
          </w:p>
        </w:tc>
        <w:tc>
          <w:tcPr>
            <w:tcW w:type="dxa" w:w="3685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shd w:val="clear" w:color="auto" w:fill="F7F9FB"/>
            <w:tcBorders>
              <w:top w:val="single" w:sz="4" w:space="0" w:color="B9C2CE"/>
              <w:left w:val="single" w:sz="4" w:space="0" w:color="B9C2CE"/>
              <w:bottom w:val="single" w:sz="4" w:space="0" w:color="B9C2CE"/>
              <w:right w:val="single" w:sz="4" w:space="0" w:color="B9C2CE"/>
            </w:tcBorders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Espinoza Quispe, Juan Carlos</w:t>
            </w:r>
          </w:p>
        </w:tc>
      </w:tr>
      <w:tr>
        <w:tc>
          <w:tcPr>
            <w:tcW w:type="dxa" w:w="5386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shd w:val="clear" w:color="auto" w:fill="FFFFFF"/>
            <w:tcBorders>
              <w:top w:val="single" w:sz="4" w:space="0" w:color="B9C2CE"/>
              <w:left w:val="single" w:sz="4" w:space="0" w:color="B9C2CE"/>
              <w:bottom w:val="single" w:sz="4" w:space="0" w:color="B9C2CE"/>
              <w:right w:val="single" w:sz="4" w:space="0" w:color="B9C2CE"/>
            </w:tcBorders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O5 – Atención y servicio al cliente</w:t>
            </w:r>
          </w:p>
        </w:tc>
        <w:tc>
          <w:tcPr>
            <w:tcW w:type="dxa" w:w="3685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shd w:val="clear" w:color="auto" w:fill="FFFFFF"/>
            <w:tcBorders>
              <w:top w:val="single" w:sz="4" w:space="0" w:color="B9C2CE"/>
              <w:left w:val="single" w:sz="4" w:space="0" w:color="B9C2CE"/>
              <w:bottom w:val="single" w:sz="4" w:space="0" w:color="B9C2CE"/>
              <w:right w:val="single" w:sz="4" w:space="0" w:color="B9C2CE"/>
            </w:tcBorders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Arroyo Mera, Anghelo</w:t>
            </w:r>
          </w:p>
        </w:tc>
      </w:tr>
      <w:tr>
        <w:tc>
          <w:tcPr>
            <w:tcW w:type="dxa" w:w="5386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shd w:val="clear" w:color="auto" w:fill="F7F9FB"/>
            <w:tcBorders>
              <w:top w:val="single" w:sz="4" w:space="0" w:color="B9C2CE"/>
              <w:left w:val="single" w:sz="4" w:space="0" w:color="B9C2CE"/>
              <w:bottom w:val="single" w:sz="4" w:space="0" w:color="B9C2CE"/>
              <w:right w:val="single" w:sz="4" w:space="0" w:color="B9C2CE"/>
            </w:tcBorders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O6 – Gestión de pedidos para llevar y delivery</w:t>
            </w:r>
          </w:p>
        </w:tc>
        <w:tc>
          <w:tcPr>
            <w:tcW w:type="dxa" w:w="3685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shd w:val="clear" w:color="auto" w:fill="F7F9FB"/>
            <w:tcBorders>
              <w:top w:val="single" w:sz="4" w:space="0" w:color="B9C2CE"/>
              <w:left w:val="single" w:sz="4" w:space="0" w:color="B9C2CE"/>
              <w:bottom w:val="single" w:sz="4" w:space="0" w:color="B9C2CE"/>
              <w:right w:val="single" w:sz="4" w:space="0" w:color="B9C2CE"/>
            </w:tcBorders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Terrones Miranda, Alexander Joel</w:t>
            </w:r>
          </w:p>
        </w:tc>
      </w:tr>
      <w:tr>
        <w:tc>
          <w:tcPr>
            <w:tcW w:type="dxa" w:w="5386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shd w:val="clear" w:color="auto" w:fill="FFFFFF"/>
            <w:tcBorders>
              <w:top w:val="single" w:sz="4" w:space="0" w:color="B9C2CE"/>
              <w:left w:val="single" w:sz="4" w:space="0" w:color="B9C2CE"/>
              <w:bottom w:val="single" w:sz="4" w:space="0" w:color="B9C2CE"/>
              <w:right w:val="single" w:sz="4" w:space="0" w:color="B9C2CE"/>
            </w:tcBorders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O7 – Gestión de devoluciones, cambios y reclamos</w:t>
            </w:r>
          </w:p>
        </w:tc>
        <w:tc>
          <w:tcPr>
            <w:tcW w:type="dxa" w:w="3685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shd w:val="clear" w:color="auto" w:fill="FFFFFF"/>
            <w:tcBorders>
              <w:top w:val="single" w:sz="4" w:space="0" w:color="B9C2CE"/>
              <w:left w:val="single" w:sz="4" w:space="0" w:color="B9C2CE"/>
              <w:bottom w:val="single" w:sz="4" w:space="0" w:color="B9C2CE"/>
              <w:right w:val="single" w:sz="4" w:space="0" w:color="B9C2CE"/>
            </w:tcBorders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Paredes Aguirre, Jean Franco (coordinador)</w:t>
            </w:r>
          </w:p>
        </w:tc>
      </w:tr>
    </w:tbl>
    <w:p>
      <w:pPr>
        <w:spacing w:before="200"/>
        <w:jc w:val="center"/>
      </w:pPr>
      <w:r>
        <w:rPr>
          <w:i/>
          <w:color w:val="555555"/>
          <w:sz w:val="19"/>
        </w:rPr>
        <w:t>Cada sección está identificada con los apellidos y nombres del alumno responsable · Considera la retroalimentación de la Sesión 03</w:t>
      </w:r>
    </w:p>
    <w:p>
      <w:r>
        <w:br w:type="page"/>
      </w:r>
    </w:p>
    <w:p>
      <w:pPr>
        <w:spacing w:after="160" w:line="269" w:lineRule="auto"/>
      </w:pPr>
      <w:r>
        <w:rPr>
          <w:rFonts w:ascii="Calibri" w:hAnsi="Calibri"/>
          <w:b w:val="0"/>
          <w:i w:val="0"/>
          <w:color w:val="222222"/>
          <w:sz w:val="21"/>
        </w:rPr>
        <w:t>Diagramas de flujo actualizados de los subprocesos que forman parte de cada proceso operativo, modelados en notación BPMN 2.0 (reproducibles en Bizagi Modeler, Microsoft Visio o Lucidchart). Para cada uno se explica, siguiendo el diagrama, qué actividades se ejecutan desde el inicio hasta el resultado esperado, incluyendo los puntos de decisión.</w:t>
      </w:r>
    </w:p>
    <w:p>
      <w:pPr>
        <w:spacing w:before="360" w:after="160"/>
        <w:jc w:val="left"/>
        <w:pBdr>
          <w:bottom w:val="single" w:sz="8" w:space="4" w:color="1F3864"/>
        </w:pBdr>
      </w:pPr>
      <w:r>
        <w:rPr>
          <w:rFonts w:ascii="Calibri" w:hAnsi="Calibri"/>
          <w:b/>
          <w:color w:val="2E5A9E"/>
          <w:sz w:val="26"/>
        </w:rPr>
        <w:t>O1 · Gestión comercial y de clientes</w:t>
      </w:r>
    </w:p>
    <w:p>
      <w:pPr>
        <w:spacing w:after="120" w:line="269" w:lineRule="auto"/>
      </w:pPr>
      <w:r>
        <w:rPr>
          <w:rFonts w:ascii="Calibri" w:hAnsi="Calibri"/>
          <w:b w:val="0"/>
          <w:i/>
          <w:color w:val="555555"/>
          <w:sz w:val="19"/>
        </w:rPr>
        <w:t>Responsable: Alejandro Alcántara Gonzales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763837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1diagrama-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763837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0"/>
        <w:jc w:val="center"/>
      </w:pPr>
      <w:r>
        <w:rPr>
          <w:i/>
          <w:color w:val="555555"/>
          <w:sz w:val="18"/>
        </w:rPr>
        <w:t>Figura. Diagrama de flujo — O1 Gestión comercial y de clientes (archivo individual enviado por Alejandro Alcántara Gonzales).</w:t>
      </w:r>
    </w:p>
    <w:p>
      <w:pPr>
        <w:spacing w:before="200" w:after="80"/>
      </w:pPr>
      <w:r>
        <w:rPr>
          <w:rFonts w:ascii="Calibri" w:hAnsi="Calibri"/>
          <w:b/>
          <w:color w:val="152A4A"/>
          <w:sz w:val="21"/>
        </w:rPr>
        <w:t>Actividades y puntos de decisión</w:t>
      </w:r>
    </w:p>
    <w:p>
      <w:pPr>
        <w:spacing w:after="200" w:line="269" w:lineRule="auto"/>
      </w:pPr>
      <w:r>
        <w:rPr>
          <w:rFonts w:ascii="Calibri" w:hAnsi="Calibri"/>
          <w:b w:val="0"/>
          <w:i w:val="0"/>
          <w:color w:val="222222"/>
          <w:sz w:val="21"/>
        </w:rPr>
        <w:t>Inicia con una necesidad comercial o el calendario promocional (subproceso Marketing y promoción): se define objetivo, público y presupuesto, y se diseña la oferta validando el margen con Costos. Punto de decisión: ¿la oferta es rentable y operativamente viable? — si No, se rediseña la mecánica o el precio antes de continuar; si Sí, se ejecuta la campaña en los canales definidos (subproceso Gestión de canales comerciales) y se capta demanda, reservas y registro de clientes (subprocesos Gestión de clientes / Gestión de reservas). Se miden los resultados por canal y un segundo punto de decisión evalúa si se alcanzó la meta comercial — si No, se reasigna inversión y se ajusta la mecánica. El proceso cierra con el aprendizaje de la campaña documentado.</w:t>
      </w:r>
    </w:p>
    <w:p>
      <w:pPr>
        <w:spacing w:before="360" w:after="160"/>
        <w:jc w:val="left"/>
        <w:pBdr>
          <w:bottom w:val="single" w:sz="8" w:space="4" w:color="1F3864"/>
        </w:pBdr>
      </w:pPr>
      <w:r>
        <w:rPr>
          <w:rFonts w:ascii="Calibri" w:hAnsi="Calibri"/>
          <w:b/>
          <w:color w:val="2E5A9E"/>
          <w:sz w:val="26"/>
        </w:rPr>
        <w:t>O2 · Gestión de compras y abastecimiento</w:t>
      </w:r>
    </w:p>
    <w:p>
      <w:pPr>
        <w:spacing w:after="120" w:line="269" w:lineRule="auto"/>
      </w:pPr>
      <w:r>
        <w:rPr>
          <w:rFonts w:ascii="Calibri" w:hAnsi="Calibri"/>
          <w:b w:val="0"/>
          <w:i/>
          <w:color w:val="555555"/>
          <w:sz w:val="19"/>
        </w:rPr>
        <w:t>Responsable: Flavio Alberto Zavaleta Pérez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303681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2mapa-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0368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0"/>
        <w:jc w:val="center"/>
      </w:pPr>
      <w:r>
        <w:rPr>
          <w:i/>
          <w:color w:val="555555"/>
          <w:sz w:val="18"/>
        </w:rPr>
        <w:t>Figura. Diagrama de flujo — O2 Gestión de compras y abastecimiento (archivo individual enviado por Flavio Alberto Zavaleta Pérez).</w:t>
      </w:r>
    </w:p>
    <w:p>
      <w:pPr>
        <w:spacing w:before="200" w:after="80"/>
      </w:pPr>
      <w:r>
        <w:rPr>
          <w:rFonts w:ascii="Calibri" w:hAnsi="Calibri"/>
          <w:b/>
          <w:color w:val="152A4A"/>
          <w:sz w:val="21"/>
        </w:rPr>
        <w:t>Actividades y puntos de decisión</w:t>
      </w:r>
    </w:p>
    <w:p>
      <w:pPr>
        <w:spacing w:after="200" w:line="269" w:lineRule="auto"/>
      </w:pPr>
      <w:r>
        <w:rPr>
          <w:rFonts w:ascii="Calibri" w:hAnsi="Calibri"/>
          <w:b w:val="0"/>
          <w:i w:val="0"/>
          <w:color w:val="222222"/>
          <w:sz w:val="21"/>
        </w:rPr>
        <w:t>Inicia con el requerimiento de insumos generado por la demanda y el inventario (subproceso Planificación de requerimientos), que se consolida. Punto de decisión: ¿existe proveedor homologado disponible? — si No, se inicia la homologación o se activa un proveedor alterno (subproceso Gestión de proveedores); si Sí, se emite la orden de compra (subproceso Gestión de compras) y se da seguimiento a la entrega. Al recepcionar el insumo (subproceso Recepción e inspección), un segundo punto de decisión evalúa si la recepción es conforme — si No, se rechaza el lote y se registra la incidencia al proveedor; si Sí, el insumo se ingresa al almacén y queda disponible para la operación.</w:t>
      </w:r>
    </w:p>
    <w:p>
      <w:pPr>
        <w:spacing w:before="360" w:after="160"/>
        <w:jc w:val="left"/>
        <w:pBdr>
          <w:bottom w:val="single" w:sz="8" w:space="4" w:color="1F3864"/>
        </w:pBdr>
      </w:pPr>
      <w:r>
        <w:rPr>
          <w:rFonts w:ascii="Calibri" w:hAnsi="Calibri"/>
          <w:b/>
          <w:color w:val="2E5A9E"/>
          <w:sz w:val="26"/>
        </w:rPr>
        <w:t>O3 · Gestión de inventarios y almacenamiento</w:t>
      </w:r>
    </w:p>
    <w:p>
      <w:pPr>
        <w:spacing w:after="120" w:line="269" w:lineRule="auto"/>
      </w:pPr>
      <w:r>
        <w:rPr>
          <w:rFonts w:ascii="Calibri" w:hAnsi="Calibri"/>
          <w:b w:val="0"/>
          <w:i/>
          <w:color w:val="555555"/>
          <w:sz w:val="19"/>
        </w:rPr>
        <w:t>Responsable: Jhon Moisés Arévalo Santos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763837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3diagrama-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763837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0"/>
        <w:jc w:val="center"/>
      </w:pPr>
      <w:r>
        <w:rPr>
          <w:i/>
          <w:color w:val="555555"/>
          <w:sz w:val="18"/>
        </w:rPr>
        <w:t>Figura. Diagrama de flujo — O3 Gestión de inventarios y almacenamiento (archivo individual enviado por Jhon Moisés Arévalo Santos).</w:t>
      </w:r>
    </w:p>
    <w:p>
      <w:pPr>
        <w:spacing w:before="200" w:after="80"/>
      </w:pPr>
      <w:r>
        <w:rPr>
          <w:rFonts w:ascii="Calibri" w:hAnsi="Calibri"/>
          <w:b/>
          <w:color w:val="152A4A"/>
          <w:sz w:val="21"/>
        </w:rPr>
        <w:t>Actividades y puntos de decisión</w:t>
      </w:r>
    </w:p>
    <w:p>
      <w:pPr>
        <w:spacing w:after="200" w:line="269" w:lineRule="auto"/>
      </w:pPr>
      <w:r>
        <w:rPr>
          <w:rFonts w:ascii="Calibri" w:hAnsi="Calibri"/>
          <w:b w:val="0"/>
          <w:i w:val="0"/>
          <w:color w:val="222222"/>
          <w:sz w:val="21"/>
        </w:rPr>
        <w:t>Inicia con el ingreso del insumo al almacén (subproceso Almacenamiento y conservación): se ubica según su condición de conservación y el criterio PEPS, se registra en el kardex y se controla temperatura y vencimiento. Punto de control: si se detecta una desviación o un producto próximo a vencer, se aísla, se registra la merma y se comunica a Calidad. El flujo continúa con la reposición interna a estaciones (subproceso Reposición interna) y la ejecución de un inventario cíclico (subproceso Control de inventarios); un segundo punto de control evalúa si existen diferencias significativas, en cuyo caso se investiga la causa y se ejecuta el ajuste autorizado. El proceso cierra con el inventario controlado y disponible.</w:t>
      </w:r>
    </w:p>
    <w:p>
      <w:pPr>
        <w:spacing w:before="360" w:after="160"/>
        <w:jc w:val="left"/>
        <w:pBdr>
          <w:bottom w:val="single" w:sz="8" w:space="4" w:color="1F3864"/>
        </w:pBdr>
      </w:pPr>
      <w:r>
        <w:rPr>
          <w:rFonts w:ascii="Calibri" w:hAnsi="Calibri"/>
          <w:b/>
          <w:color w:val="2E5A9E"/>
          <w:sz w:val="26"/>
        </w:rPr>
        <w:t>O4 · Preparación y producción de alimentos</w:t>
      </w:r>
    </w:p>
    <w:p>
      <w:pPr>
        <w:spacing w:after="120" w:line="269" w:lineRule="auto"/>
      </w:pPr>
      <w:r>
        <w:rPr>
          <w:rFonts w:ascii="Calibri" w:hAnsi="Calibri"/>
          <w:b w:val="0"/>
          <w:i/>
          <w:color w:val="555555"/>
          <w:sz w:val="19"/>
        </w:rPr>
        <w:t>Responsable: Juan Carlos Espinoza Quispe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7634176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4diagrama-1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76341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0"/>
        <w:jc w:val="center"/>
      </w:pPr>
      <w:r>
        <w:rPr>
          <w:i/>
          <w:color w:val="555555"/>
          <w:sz w:val="18"/>
        </w:rPr>
        <w:t>Figura. Diagrama de flujo — O4 Preparación y producción de alimentos (archivo individual enviado por Juan Carlos Espinoza Quispe).</w:t>
      </w:r>
    </w:p>
    <w:p>
      <w:pPr>
        <w:spacing w:before="200" w:after="80"/>
      </w:pPr>
      <w:r>
        <w:rPr>
          <w:rFonts w:ascii="Calibri" w:hAnsi="Calibri"/>
          <w:b/>
          <w:color w:val="152A4A"/>
          <w:sz w:val="21"/>
        </w:rPr>
        <w:t>Actividades y puntos de decisión</w:t>
      </w:r>
    </w:p>
    <w:p>
      <w:pPr>
        <w:spacing w:after="200" w:line="269" w:lineRule="auto"/>
      </w:pPr>
      <w:r>
        <w:rPr>
          <w:rFonts w:ascii="Calibri" w:hAnsi="Calibri"/>
          <w:b w:val="0"/>
          <w:i w:val="0"/>
          <w:color w:val="222222"/>
          <w:sz w:val="21"/>
        </w:rPr>
        <w:t>Inicia con el programa de producción del turno (subproceso Planificación de producción): se calcula el volumen según la demanda esperada y se ejecuta el mise en place (subproceso Preparación previa). Punto de decisión: ¿estaciones e insumos están completos? — si No, se solicita reposición interna al almacén; si Sí, se elabora el producto conforme a receta y gramaje (subproceso Elaboración de alimentos y bebidas), controlando tiempo y temperatura de cocción. Un segundo punto de decisión (subproceso Control de calidad e inocuidad) evalúa si el producto cumple el estándar — si No, se reprocesa o descarta y se registra la incidencia; si Sí, se libera el producto a salón o a despacho.</w:t>
      </w:r>
    </w:p>
    <w:p>
      <w:pPr>
        <w:spacing w:before="360" w:after="160"/>
        <w:jc w:val="left"/>
        <w:pBdr>
          <w:bottom w:val="single" w:sz="8" w:space="4" w:color="1F3864"/>
        </w:pBdr>
      </w:pPr>
      <w:r>
        <w:rPr>
          <w:rFonts w:ascii="Calibri" w:hAnsi="Calibri"/>
          <w:b/>
          <w:color w:val="2E5A9E"/>
          <w:sz w:val="26"/>
        </w:rPr>
        <w:t>O5 · Atención y servicio al cliente</w:t>
      </w:r>
    </w:p>
    <w:p>
      <w:pPr>
        <w:spacing w:after="120" w:line="269" w:lineRule="auto"/>
      </w:pPr>
      <w:r>
        <w:rPr>
          <w:rFonts w:ascii="Calibri" w:hAnsi="Calibri"/>
          <w:b w:val="0"/>
          <w:i/>
          <w:color w:val="555555"/>
          <w:sz w:val="19"/>
        </w:rPr>
        <w:t>Responsable: Anghelo Arroyo Mera</w:t>
      </w:r>
    </w:p>
    <w:p>
      <w:pPr>
        <w:spacing w:after="160" w:line="269" w:lineRule="auto"/>
      </w:pPr>
      <w:r>
        <w:rPr>
          <w:rFonts w:ascii="Calibri" w:hAnsi="Calibri"/>
          <w:b w:val="0"/>
          <w:i/>
          <w:color w:val="555555"/>
          <w:sz w:val="18"/>
        </w:rPr>
        <w:t>No se recibió un archivo individual de diagrama de flujo para este proceso; el flujo se documenta a partir de la versión validada en el Entregable 3 grupal actualizado.</w:t>
      </w:r>
    </w:p>
    <w:p>
      <w:pPr>
        <w:spacing w:before="200" w:after="80"/>
      </w:pPr>
      <w:r>
        <w:rPr>
          <w:rFonts w:ascii="Calibri" w:hAnsi="Calibri"/>
          <w:b/>
          <w:color w:val="152A4A"/>
          <w:sz w:val="21"/>
        </w:rPr>
        <w:t>Actividades y puntos de decisión</w:t>
      </w:r>
    </w:p>
    <w:p>
      <w:pPr>
        <w:spacing w:after="200" w:line="269" w:lineRule="auto"/>
      </w:pPr>
      <w:r>
        <w:rPr>
          <w:rFonts w:ascii="Calibri" w:hAnsi="Calibri"/>
          <w:b w:val="0"/>
          <w:i w:val="0"/>
          <w:color w:val="222222"/>
          <w:sz w:val="21"/>
        </w:rPr>
        <w:t>Inicia cuando el cliente llega al local (subproceso Recepción y asignación). Punto de decisión: ¿cuenta con reserva? — si No, se registra en lista de espera; si Sí, se asigna mesa y se toma el pedido en el POS (subproceso Toma de pedidos), que se transmite a cocina y barra (subproceso Gestión del pedido / Servicio). Un segundo punto de decisión evalúa si el pedido es correcto y completo — si No, se corrige de inmediato. Tras atender el consumo, se genera la precuenta (subproceso Gestión de cobro); un tercer punto de decisión evalúa si el pago fue aprobado — si No, se solicita un medio de pago alterno; si Sí, se emite el comprobante (subproceso Facturación) y se concilia el turno y se cierra caja (subprocesos Conciliación de ventas / Cierre de caja).</w:t>
      </w:r>
    </w:p>
    <w:p>
      <w:pPr>
        <w:spacing w:before="360" w:after="160"/>
        <w:jc w:val="left"/>
        <w:pBdr>
          <w:bottom w:val="single" w:sz="8" w:space="4" w:color="1F3864"/>
        </w:pBdr>
      </w:pPr>
      <w:r>
        <w:rPr>
          <w:rFonts w:ascii="Calibri" w:hAnsi="Calibri"/>
          <w:b/>
          <w:color w:val="2E5A9E"/>
          <w:sz w:val="26"/>
        </w:rPr>
        <w:t>O6 · Gestión de pedidos para llevar y delivery</w:t>
      </w:r>
    </w:p>
    <w:p>
      <w:pPr>
        <w:spacing w:after="120" w:line="269" w:lineRule="auto"/>
      </w:pPr>
      <w:r>
        <w:rPr>
          <w:rFonts w:ascii="Calibri" w:hAnsi="Calibri"/>
          <w:b w:val="0"/>
          <w:i/>
          <w:color w:val="555555"/>
          <w:sz w:val="19"/>
        </w:rPr>
        <w:t>Responsable: Alexander Joel Terrones Miranda</w:t>
      </w:r>
    </w:p>
    <w:p>
      <w:pPr>
        <w:spacing w:after="160" w:line="269" w:lineRule="auto"/>
      </w:pPr>
      <w:r>
        <w:rPr>
          <w:rFonts w:ascii="Calibri" w:hAnsi="Calibri"/>
          <w:b w:val="0"/>
          <w:i/>
          <w:color w:val="555555"/>
          <w:sz w:val="18"/>
        </w:rPr>
        <w:t>No se recibió un archivo individual de diagrama de flujo para este proceso; el flujo se documenta a partir de la versión validada en el Entregable 3 grupal actualizado.</w:t>
      </w:r>
    </w:p>
    <w:p>
      <w:pPr>
        <w:spacing w:before="200" w:after="80"/>
      </w:pPr>
      <w:r>
        <w:rPr>
          <w:rFonts w:ascii="Calibri" w:hAnsi="Calibri"/>
          <w:b/>
          <w:color w:val="152A4A"/>
          <w:sz w:val="21"/>
        </w:rPr>
        <w:t>Actividades y puntos de decisión</w:t>
      </w:r>
    </w:p>
    <w:p>
      <w:pPr>
        <w:spacing w:after="200" w:line="269" w:lineRule="auto"/>
      </w:pPr>
      <w:r>
        <w:rPr>
          <w:rFonts w:ascii="Calibri" w:hAnsi="Calibri"/>
          <w:b w:val="0"/>
          <w:i w:val="0"/>
          <w:color w:val="222222"/>
          <w:sz w:val="21"/>
        </w:rPr>
        <w:t>Inicia con la recepción del pedido para llevar o delivery (subproceso Recepción y validación del pedido), validando productos, dirección, pago y modalidad. Punto de decisión: ¿el pedido es válido y se puede atender? — si No, se rechaza informando el motivo; si Sí, se confirma el tiempo estimado y se envía a cocina (subproceso Preparación y empaquetado). Un segundo punto de decisión evalúa si el pedido está completo y correcto tras el checklist — si No, se corrige antes de despachar. Un tercer punto de decisión define la modalidad (subprocesos Despacho / Gestión de entrega): si es recojo en tienda, se entrega en mostrador; si es delivery, se despacha al repartidor y se monitorea la entrega (subproceso Seguimiento del pedido) hasta la confirmación.</w:t>
      </w:r>
    </w:p>
    <w:p>
      <w:pPr>
        <w:spacing w:before="360" w:after="160"/>
        <w:jc w:val="left"/>
        <w:pBdr>
          <w:bottom w:val="single" w:sz="8" w:space="4" w:color="1F3864"/>
        </w:pBdr>
      </w:pPr>
      <w:r>
        <w:rPr>
          <w:rFonts w:ascii="Calibri" w:hAnsi="Calibri"/>
          <w:b/>
          <w:color w:val="2E5A9E"/>
          <w:sz w:val="26"/>
        </w:rPr>
        <w:t>O7 · Gestión de devoluciones, cambios y reclamos</w:t>
      </w:r>
    </w:p>
    <w:p>
      <w:pPr>
        <w:spacing w:after="120" w:line="269" w:lineRule="auto"/>
      </w:pPr>
      <w:r>
        <w:rPr>
          <w:rFonts w:ascii="Calibri" w:hAnsi="Calibri"/>
          <w:b w:val="0"/>
          <w:i/>
          <w:color w:val="555555"/>
          <w:sz w:val="19"/>
        </w:rPr>
        <w:t>Responsable: Jean Franco Paredes Aguirre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40000" cy="8066598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a_o7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140000" cy="80665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0"/>
        <w:jc w:val="center"/>
      </w:pPr>
      <w:r>
        <w:rPr>
          <w:i/>
          <w:color w:val="555555"/>
          <w:sz w:val="18"/>
        </w:rPr>
        <w:t>Figura. Diagrama de flujo BPMN 2.0 — O7 Gestión de devoluciones, cambios y reclamos.</w:t>
      </w:r>
    </w:p>
    <w:p>
      <w:pPr>
        <w:spacing w:before="200" w:after="80"/>
      </w:pPr>
      <w:r>
        <w:rPr>
          <w:rFonts w:ascii="Calibri" w:hAnsi="Calibri"/>
          <w:b/>
          <w:color w:val="152A4A"/>
          <w:sz w:val="21"/>
        </w:rPr>
        <w:t>Actividades y puntos de decisión</w:t>
      </w:r>
    </w:p>
    <w:p>
      <w:pPr>
        <w:spacing w:after="200" w:line="269" w:lineRule="auto"/>
      </w:pPr>
      <w:r>
        <w:rPr>
          <w:rFonts w:ascii="Calibri" w:hAnsi="Calibri"/>
          <w:b w:val="0"/>
          <w:i w:val="0"/>
          <w:color w:val="222222"/>
          <w:sz w:val="21"/>
        </w:rPr>
        <w:t>Inicia cuando el cliente presenta el caso (subproceso Recepción y registro), que se categoriza en la plataforma. Se analiza la evidencia (subproceso Evaluación y resolución); primer punto de decisión: ¿el caso procede? — si No, se explica el sustento y se cierra sin procedencia; si Sí, un segundo punto de decisión evalúa si corresponde cambio de producto o reposición — si No, se evalúa la devolución del importe o la compensación comercial (subprocesos Devoluciones y reposiciones / Compensaciones), y ambos caminos convergen antes de ejecutar la solución acordada. El proceso cierra con la verificación de conformidad, el cierre del caso y la retroalimentación al proceso de origen de la falla (subproceso Seguimiento y cierre).</w:t>
      </w:r>
    </w:p>
    <w:p>
      <w:pPr>
        <w:spacing w:before="280" w:after="160"/>
        <w:jc w:val="left"/>
        <w:pBdr>
          <w:bottom w:val="single" w:sz="8" w:space="4" w:color="1F3864"/>
        </w:pBdr>
      </w:pPr>
      <w:r>
        <w:rPr>
          <w:rFonts w:ascii="Calibri" w:hAnsi="Calibri"/>
          <w:b/>
          <w:color w:val="1F3864"/>
          <w:sz w:val="30"/>
        </w:rPr>
        <w:t>Notas de consistencia</w:t>
      </w:r>
    </w:p>
    <w:p>
      <w:pPr>
        <w:pStyle w:val="ListBullet"/>
        <w:spacing w:after="60"/>
      </w:pPr>
      <w:r>
        <w:rPr>
          <w:rFonts w:ascii="Calibri" w:hAnsi="Calibri"/>
          <w:color w:val="222222"/>
          <w:sz w:val="21"/>
        </w:rPr>
        <w:t>El archivo de mapa de procesos enviado individualmente por Jhon Moisés Arévalo Santos venía rotulado como “O7 · código 2.7” y con el pie de página a nombre de Jean Franco Paredes Aguirre; el contenido correspondía en realidad a O3 – Gestión de inventarios y almacenamiento (código 2.3), su proceso asignado. Se corrigió el código y la autoría al consolidar, y el contenido técnico del mapa (entradas, subprocesos, salidas) se mantuvo sin cambios por ser correcto.</w:t>
      </w:r>
    </w:p>
    <w:p>
      <w:pPr>
        <w:pStyle w:val="ListBullet"/>
        <w:spacing w:after="60"/>
      </w:pPr>
      <w:r>
        <w:rPr>
          <w:rFonts w:ascii="Calibri" w:hAnsi="Calibri"/>
          <w:color w:val="222222"/>
          <w:sz w:val="21"/>
        </w:rPr>
        <w:t>Los procesos O5 – Atención y servicio al cliente (Anghelo Arroyo Mera) y O6 – Gestión de pedidos para llevar y delivery / E3 (Alexander Joel Terrones Miranda) no tienen archivos individuales propios en la carpeta de entrega; para no dejar el consolidado incompleto se usó la versión ya validada de estos procesos en el Entregable 3 grupal (actualizado), manteniendo la atribución al responsable que figura en el mapa de responsabilidades del grupo.</w:t>
      </w:r>
    </w:p>
    <w:p>
      <w:pPr>
        <w:pStyle w:val="ListBullet"/>
        <w:spacing w:after="60"/>
      </w:pPr>
      <w:r>
        <w:rPr>
          <w:rFonts w:ascii="Calibri" w:hAnsi="Calibri"/>
          <w:color w:val="222222"/>
          <w:sz w:val="21"/>
        </w:rPr>
        <w:t>Los nombres y códigos de los siete procesos operativos (O1 a O7) son consistentes entre el mapa maestro, el Entregable 3 actualizado, el Entregable 5 y los archivos individuales revisados; no se detectaron otras discrepancias de denominación.</w:t>
      </w:r>
    </w:p>
    <w:sectPr w:rsidR="00FC693F" w:rsidRPr="0006063C" w:rsidSect="00034616">
      <w:footerReference w:type="default" r:id="rId14"/>
      <w:pgSz w:w="12240" w:h="15840"/>
      <w:pgMar w:top="1247" w:right="1417" w:bottom="124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5555"/>
        <w:sz w:val="16"/>
      </w:rPr>
      <w:t>Pardos Chicken · Grupo 1 · Pregunta 4 – Diagramas de Flujo actualizados (consolidado)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