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F3864"/>
          <w:sz w:val="60"/>
        </w:rPr>
        <w:t>Pardos Chicken</w:t>
      </w:r>
    </w:p>
    <w:p>
      <w:pPr>
        <w:spacing w:before="200"/>
        <w:jc w:val="center"/>
      </w:pPr>
      <w:r>
        <w:rPr>
          <w:rFonts w:ascii="Calibri" w:hAnsi="Calibri"/>
          <w:color w:val="2E5A9E"/>
          <w:sz w:val="30"/>
        </w:rPr>
        <w:t>Pregunta 5 — Indicadores actualizados</w:t>
      </w:r>
    </w:p>
    <w:p>
      <w:pPr>
        <w:spacing w:before="80"/>
        <w:jc w:val="center"/>
      </w:pPr>
      <w:r>
        <w:rPr>
          <w:i/>
          <w:color w:val="555555"/>
          <w:sz w:val="21"/>
        </w:rPr>
        <w:t>Documento consolidado por el coordinador del grupo — un integrante por proceso operativo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Empresa analizada</w:t>
            </w:r>
          </w:p>
        </w:tc>
        <w:tc>
          <w:tcPr>
            <w:tcW w:type="dxa" w:w="56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Pardos Chicken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Grupo</w:t>
            </w:r>
          </w:p>
        </w:tc>
        <w:tc>
          <w:tcPr>
            <w:tcW w:type="dxa" w:w="56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Grupo 1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Coordinador del grupo</w:t>
            </w:r>
          </w:p>
        </w:tc>
        <w:tc>
          <w:tcPr>
            <w:tcW w:type="dxa" w:w="56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Paredes Aguirre, Jean Franco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Curso</w:t>
            </w:r>
          </w:p>
        </w:tc>
        <w:tc>
          <w:tcPr>
            <w:tcW w:type="dxa" w:w="56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Análisis y Diseño de Procesos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Entregable</w:t>
            </w:r>
          </w:p>
        </w:tc>
        <w:tc>
          <w:tcPr>
            <w:tcW w:type="dxa" w:w="56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Sesión 04 – Pregunta 5 (consolidado del grupo)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52A4A"/>
          <w:sz w:val="23"/>
        </w:rPr>
        <w:t>Integrantes y proceso operativo a cargo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3685"/>
      </w:tblGrid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Proceso operativo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O1 – Gestión comercial y de clientes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Alcántara Gonzales, Alejandro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O2 – Gestión de compras y abastecimiento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Zavaleta Pérez, Flavio Alberto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O3 – Gestión de inventarios y almacenamiento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Arévalo Santos, Jhon Moisés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O4 – Preparación y producción de alimentos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Espinoza Quispe, Juan Carlos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O5 – Atención y servicio al cliente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Arroyo Mera, Anghelo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O6 – Gestión de pedidos para llevar y delivery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Terrones Miranda, Alexander Joel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O7 – Gestión de devoluciones, cambios y reclamos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Paredes Aguirre, Jean Franco (coordinador)</w:t>
            </w:r>
          </w:p>
        </w:tc>
      </w:tr>
    </w:tbl>
    <w:p>
      <w:pPr>
        <w:spacing w:before="200"/>
        <w:jc w:val="center"/>
      </w:pPr>
      <w:r>
        <w:rPr>
          <w:i/>
          <w:color w:val="555555"/>
          <w:sz w:val="19"/>
        </w:rPr>
        <w:t>Cada sección está identificada con los apellidos y nombres del alumno responsable · Considera la retroalimentación de la Sesión 03</w:t>
      </w:r>
    </w:p>
    <w:p>
      <w:r>
        <w:br w:type="page"/>
      </w:r>
    </w:p>
    <w:p>
      <w:pPr>
        <w:spacing w:before="280" w:after="160"/>
        <w:jc w:val="left"/>
        <w:pBdr>
          <w:bottom w:val="single" w:sz="8" w:space="4" w:color="1F3864"/>
        </w:pBdr>
      </w:pPr>
      <w:r>
        <w:rPr>
          <w:rFonts w:ascii="Calibri" w:hAnsi="Calibri"/>
          <w:b/>
          <w:color w:val="1F3864"/>
          <w:sz w:val="30"/>
        </w:rPr>
        <w:t>1. Todos los indicadores del grupo, juntos</w:t>
      </w:r>
    </w:p>
    <w:p>
      <w:pPr>
        <w:spacing w:after="16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Vista consolidada de los 35 indicadores de los siete procesos operativos (5 por proceso), con su nombre, meta, frecuencia y responsable, antes del detalle individual de cada uno en la sección 2.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"/>
        <w:gridCol w:w="3402"/>
        <w:gridCol w:w="1474"/>
        <w:gridCol w:w="1474"/>
        <w:gridCol w:w="2381"/>
      </w:tblGrid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Proceso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Indicador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Meta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Frecuencia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Responsable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O1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ROI de campañas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3,0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Por campaña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Alejandro Alcántara Gonzales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O1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Tasa de conversión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4 %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Alejandro Alcántara Gonzales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O1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Ticket promedio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Crecimiento ≥ 5 %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Alejandro Alcántara Gonzales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O1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Tasa de recompra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35 %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Alejandro Alcántara Gonzales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O1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Tasa de no-show en reservas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8 %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Alejandro Alcántara Gonzales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O2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Precisión del pronóstico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85 %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Flavio Alberto Zavaleta Pérez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O2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Entregas a tiempo del proveedor (OTIF)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95 %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Flavio Alberto Zavaleta Pérez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O2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% de recepciones conformes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97 %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Flavio Alberto Zavaleta Pérez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O2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Tiempo del ciclo de compra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5 días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Flavio Alberto Zavaleta Pérez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O2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Número de compras urgentes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5 al mes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Flavio Alberto Zavaleta Pérez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O3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Exactitud de inventario (ERI)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97 %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Jhon Moisés Arévalo Santos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O3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% de merma sobre ventas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2 %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Jhon Moisés Arévalo Santos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O3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Rotación de inventario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12 veces al año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Jhon Moisés Arévalo Santos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O3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Número de quiebres de stock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4 al mes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Jhon Moisés Arévalo Santos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O3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Incidencias de temperatura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0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Semanal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Jhon Moisés Arévalo Santos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O4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Tiempo promedio de preparación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12 min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Diario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Juan Carlos Espinoza Quispe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O4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% de cumplimiento de receta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95 %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Semanal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Juan Carlos Espinoza Quispe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O4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Tasa de reproceso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2 %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Diario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Juan Carlos Espinoza Quispe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O4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% de productos conformes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98 %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Diario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Juan Carlos Espinoza Quispe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O4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Desperdicio por sobreproducción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1,5 %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Diario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Juan Carlos Espinoza Quispe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O5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Tiempo promedio de espera para asignación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5 min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Diario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Anghelo Arroyo Mera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O5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Tiempo pedido-entrega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15 min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Diario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Anghelo Arroyo Mera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O5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% de entregas correctas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98 %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Diario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Anghelo Arroyo Mera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O5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% de comprobantes emitidos correctamente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99 %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Diario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Anghelo Arroyo Mera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O5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Cierres de caja sin diferencias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95 %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Diario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Anghelo Arroyo Mera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O6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Tiempo pedido-a-puerta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40 min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Diario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Alexander Joel Terrones Miranda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O6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Tiempo de espera del recojo en tienda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10 min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Diario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Alexander Joel Terrones Miranda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O6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% de entregas a tiempo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90 %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Diario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Alexander Joel Terrones Miranda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O6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% de pedidos completos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98 %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Diario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Alexander Joel Terrones Miranda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O6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Satisfacción con la entrega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4,4 / 5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Alexander Joel Terrones Miranda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O7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Tiempo promedio de resolución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48 h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Semanal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Jean Franco Paredes Aguirre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O7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% resuelto dentro del SLA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90 %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Semanal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Jean Franco Paredes Aguirre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O7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Resolución en primer contacto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≥ 60 %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Jean Franco Paredes Aguirre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O7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Tasa de casos por 1.000 pedidos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8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Jean Franco Paredes Aguirre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17"/>
              </w:rPr>
              <w:t>O7</w:t>
            </w:r>
          </w:p>
        </w:tc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Reapertura de casos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≤ 5 %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7"/>
              </w:rPr>
              <w:t>Mensual</w:t>
            </w:r>
          </w:p>
        </w:tc>
        <w:tc>
          <w:tcPr>
            <w:tcW w:type="dxa" w:w="238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Jean Franco Paredes Aguirre</w:t>
            </w:r>
          </w:p>
        </w:tc>
      </w:tr>
    </w:tbl>
    <w:p>
      <w:pPr>
        <w:spacing w:before="40" w:after="200"/>
        <w:jc w:val="center"/>
      </w:pPr>
      <w:r>
        <w:rPr>
          <w:i/>
          <w:color w:val="555555"/>
          <w:sz w:val="18"/>
        </w:rPr>
        <w:t>Tabla maestra de los 35 indicadores actualizados del grupo (7 procesos operativos × 5 indicadores).</w:t>
      </w:r>
    </w:p>
    <w:p>
      <w:pPr>
        <w:spacing w:before="280" w:after="160"/>
        <w:jc w:val="left"/>
        <w:pBdr>
          <w:bottom w:val="single" w:sz="8" w:space="4" w:color="1F3864"/>
        </w:pBdr>
      </w:pPr>
      <w:r>
        <w:rPr>
          <w:rFonts w:ascii="Calibri" w:hAnsi="Calibri"/>
          <w:b/>
          <w:color w:val="1F3864"/>
          <w:sz w:val="30"/>
        </w:rPr>
        <w:t>2. Detalle de indicadores por proceso</w:t>
      </w:r>
    </w:p>
    <w:p>
      <w:pPr>
        <w:spacing w:after="16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Para cada proceso operativo, cada indicador con qué mide, fórmula de cálculo, meta, el resultado que evidenciaría una desviación y la acción a realizar frente a ella.</w:t>
      </w:r>
    </w:p>
    <w:p>
      <w:pPr>
        <w:spacing w:before="280" w:after="80"/>
      </w:pPr>
      <w:r>
        <w:rPr>
          <w:rFonts w:ascii="Calibri" w:hAnsi="Calibri"/>
          <w:b/>
          <w:color w:val="152A4A"/>
          <w:sz w:val="24"/>
        </w:rPr>
        <w:t>O1 · Gestión comercial y de clientes</w:t>
      </w:r>
    </w:p>
    <w:p>
      <w:pPr>
        <w:spacing w:after="80" w:line="269" w:lineRule="auto"/>
      </w:pPr>
      <w:r>
        <w:rPr>
          <w:rFonts w:ascii="Calibri" w:hAnsi="Calibri"/>
          <w:b w:val="0"/>
          <w:i/>
          <w:color w:val="555555"/>
          <w:sz w:val="18"/>
        </w:rPr>
        <w:t>Responsable: Alejandro Alcántara Gonzales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474"/>
        <w:gridCol w:w="1871"/>
        <w:gridCol w:w="907"/>
        <w:gridCol w:w="1928"/>
        <w:gridCol w:w="1928"/>
      </w:tblGrid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Indicador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¿Qué mide?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Fórmula de cálculo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Meta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¿Qué resultado evidenciaría una desviación?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¿Qué acción realizaría ante la desviación?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1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ROI de campañas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Rentabilidad generada por cada sol invertido en una campaña de marketing.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(Ingresos atribuibles a la campaña − Costo de la campaña) / Costo de la campaña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≥ 3,0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(Por campaña)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El ROI cae por debajo de 3,0 en una campaña, señal de que la inversión no se recupera con el margen esperado.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Suspender o ajustar la mecánica de la campaña (descuento, canal, público) y validar el nuevo diseño con Costos antes de relanzar.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2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Tasa de conversión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Proporción de personas alcanzadas por la campaña que efectivamente compran.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(N.° de compras atribuidas a la campaña / N.° de personas alcanzadas) × 100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≥ 4 %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(Mensual)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Cae por debajo del 4 % mensual, indicando que la oferta o el canal no generan la respuesta esperada.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Revisar la segmentación del público y el mensaje de la campaña, y probar un canal o una oferta alternativa.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3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Ticket promedio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Valor promedio de venta por cliente atendido.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Ventas totales del periodo / N.° de comprobantes emitidos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Crecimiento ≥ 5 %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(Mensual)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No crece al menos 5 % respecto del periodo anterior, señal de que la venta sugerida no está funcionando.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Reforzar el guion de venta sugerida en salón y delivery, y evaluar combos que incrementen el ticket.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4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Tasa de recompra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Proporción de clientes que vuelven a comprar en un periodo determinado.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(Clientes con más de una compra en el periodo / Total de clientes del periodo) × 100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≥ 35 %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(Mensual)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Cae por debajo del 35 % mensual, señal de pérdida de fidelización.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Activar campañas de reactivación a clientes inactivos y revisar la propuesta del programa de fidelización.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5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Tasa de no-show en reservas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Proporción de reservas confirmadas cuyo cliente no se presenta.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(N.° de reservas no presentadas / N.° total de reservas confirmadas) × 100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≤ 8 %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(Mensual)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Supera el 8 % mensual, generando mesas bloqueadas sin uso en hora punta.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Implementar confirmación previa por mensaje y límite de reservas para clientes reincidentes en no-show.</w:t>
            </w:r>
          </w:p>
        </w:tc>
      </w:tr>
    </w:tbl>
    <w:p>
      <w:pPr>
        <w:spacing w:after="120" w:line="269" w:lineRule="auto"/>
      </w:pPr>
      <w:r>
        <w:rPr>
          <w:rFonts w:ascii="Calibri" w:hAnsi="Calibri"/>
          <w:b w:val="0"/>
          <w:i w:val="0"/>
          <w:color w:val="222222"/>
          <w:sz w:val="21"/>
        </w:rPr>
      </w:r>
    </w:p>
    <w:p>
      <w:pPr>
        <w:spacing w:before="280" w:after="80"/>
      </w:pPr>
      <w:r>
        <w:rPr>
          <w:rFonts w:ascii="Calibri" w:hAnsi="Calibri"/>
          <w:b/>
          <w:color w:val="152A4A"/>
          <w:sz w:val="24"/>
        </w:rPr>
        <w:t>O2 · Gestión de compras y abastecimiento</w:t>
      </w:r>
    </w:p>
    <w:p>
      <w:pPr>
        <w:spacing w:after="80" w:line="269" w:lineRule="auto"/>
      </w:pPr>
      <w:r>
        <w:rPr>
          <w:rFonts w:ascii="Calibri" w:hAnsi="Calibri"/>
          <w:b w:val="0"/>
          <w:i/>
          <w:color w:val="555555"/>
          <w:sz w:val="18"/>
        </w:rPr>
        <w:t>Responsable: Flavio Alberto Zavaleta Pérez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474"/>
        <w:gridCol w:w="1871"/>
        <w:gridCol w:w="907"/>
        <w:gridCol w:w="1928"/>
        <w:gridCol w:w="1928"/>
      </w:tblGrid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Indicador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¿Qué mide?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Fórmula de cálculo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Meta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¿Qué resultado evidenciaría una desviación?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¿Qué acción realizaría ante la desviación?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1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Precisión del pronóstico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Exactitud con la que el pronóstico de demanda anticipa el consumo real de insumos.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100 − (|Demanda real − Demanda pronosticada| / Demanda real) × 100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≥ 85 %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(Mensual)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Cae por debajo del 85 % mensual, generando quiebres o sobrestock.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Revisar el modelo de pronóstico con los datos de venta más recientes y ajustar los factores estacionales.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2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Entregas a tiempo del proveedor (OTIF)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Cumplimiento del proveedor en cantidad y fecha pactada.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(Órdenes entregadas completas y a tiempo / Total de órdenes) × 100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≥ 95 %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(Mensual)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Cae por debajo del 95 % mensual, señal de riesgo de desabastecimiento.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Escalar con el proveedor incumplido, activar un proveedor alterno homologado y evaluar penalidades.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3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% de recepciones conformes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Proporción de insumos recibidos que cumplen cantidad, calidad y temperatura pactadas.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(N.° de recepciones conformes / N.° total de recepciones) × 100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≥ 97 %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(Mensual)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Cae por debajo del 97 % mensual, indicando fallas de calidad en el proveedor o el transporte.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Reforzar la inspección en recepción y notificar al proveedor las no conformidades para su corrección.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4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Tiempo del ciclo de compra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Días desde que se genera la necesidad hasta que la orden de compra es aprobada.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Fecha de aprobación de la orden − Fecha del requerimiento (promedio, en días)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≤ 5 días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(Mensual)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Supera los 5 días, retrasando la disponibilidad del insumo.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Identificar el cuello de botella en el flujo de aprobación y delegar montos menores a un nivel más ágil.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5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Número de compras urgentes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Cantidad de compras realizadas fuera del ciclo normal de planificación.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Conteo de órdenes de compra marcadas como urgentes en el periodo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≤ 5 al mes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(Mensual)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Supera las 5 al mes, señal de que la planificación no anticipa bien la necesidad.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Revisar el stock mínimo y el punto de reorden de los insumos que generan las compras urgentes.</w:t>
            </w:r>
          </w:p>
        </w:tc>
      </w:tr>
    </w:tbl>
    <w:p>
      <w:pPr>
        <w:spacing w:after="120" w:line="269" w:lineRule="auto"/>
      </w:pPr>
      <w:r>
        <w:rPr>
          <w:rFonts w:ascii="Calibri" w:hAnsi="Calibri"/>
          <w:b w:val="0"/>
          <w:i w:val="0"/>
          <w:color w:val="222222"/>
          <w:sz w:val="21"/>
        </w:rPr>
      </w:r>
    </w:p>
    <w:p>
      <w:pPr>
        <w:spacing w:before="280" w:after="80"/>
      </w:pPr>
      <w:r>
        <w:rPr>
          <w:rFonts w:ascii="Calibri" w:hAnsi="Calibri"/>
          <w:b/>
          <w:color w:val="152A4A"/>
          <w:sz w:val="24"/>
        </w:rPr>
        <w:t>O3 · Gestión de inventarios y almacenamiento</w:t>
      </w:r>
    </w:p>
    <w:p>
      <w:pPr>
        <w:spacing w:after="80" w:line="269" w:lineRule="auto"/>
      </w:pPr>
      <w:r>
        <w:rPr>
          <w:rFonts w:ascii="Calibri" w:hAnsi="Calibri"/>
          <w:b w:val="0"/>
          <w:i/>
          <w:color w:val="555555"/>
          <w:sz w:val="18"/>
        </w:rPr>
        <w:t>Responsable: Jhon Moisés Arévalo Santos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474"/>
        <w:gridCol w:w="1871"/>
        <w:gridCol w:w="907"/>
        <w:gridCol w:w="1928"/>
        <w:gridCol w:w="1928"/>
      </w:tblGrid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Indicador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¿Qué mide?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Fórmula de cálculo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Meta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¿Qué resultado evidenciaría una desviación?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¿Qué acción realizaría ante la desviación?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1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Exactitud de inventario (ERI)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Coincidencia entre el inventario físico y el registrado en el sistema.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(1 − (Diferencia absoluta físico-sistema / Inventario según sistema)) × 100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≥ 97 %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(Mensual)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Cae por debajo del 97 % mensual, señal de errores de registro o pérdidas no controladas.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Ejecutar un conteo cíclico extraordinario en las categorías con mayor diferencia y revisar el registro de movimientos.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2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% de merma sobre ventas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Proporción de insumos perdidos por vencimiento, daño o manipulación respecto de las ventas.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(Costo de merma del periodo / Ventas del periodo) × 100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≤ 2 %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(Mensual)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Supera el 2 % mensual.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Revisar la aplicación del criterio PEPS y las condiciones de conservación en las categorías con mayor merma.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3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Rotación de inventario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Número de veces que el inventario se renueva en un año.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Costo de ventas anualizado / Inventario promedio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≥ 12 veces al año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(Mensual)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Cae por debajo de 12 veces al año, señal de sobrestock o insumos de baja rotación inmovilizados.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Ajustar el punto de reorden y liquidar o redistribuir el stock de baja rotación.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4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Número de quiebres de stock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Cantidad de veces que un insumo requerido no estuvo disponible cuando se necesitó.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Conteo de eventos de quiebre de stock registrados en el periodo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≤ 4 al mes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(Mensual)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Supera los 4 al mes.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Revisar el pronóstico y el punto de reorden del insumo afectado junto con Gestión de compras (O2).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5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Incidencias de temperatura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Número de veces que una cámara o zona de almacenamiento salió del rango permitido.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Conteo de alertas de temperatura fuera de rango registradas en el periodo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0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(Semanal)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Cualquier incidencia registrada (meta = 0).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Investigar la causa (equipo, apertura de puerta, corte eléctrico), aislar el producto y registrar la merma si corresponde.</w:t>
            </w:r>
          </w:p>
        </w:tc>
      </w:tr>
    </w:tbl>
    <w:p>
      <w:pPr>
        <w:spacing w:after="120" w:line="269" w:lineRule="auto"/>
      </w:pPr>
      <w:r>
        <w:rPr>
          <w:rFonts w:ascii="Calibri" w:hAnsi="Calibri"/>
          <w:b w:val="0"/>
          <w:i w:val="0"/>
          <w:color w:val="222222"/>
          <w:sz w:val="21"/>
        </w:rPr>
      </w:r>
    </w:p>
    <w:p>
      <w:pPr>
        <w:spacing w:before="280" w:after="80"/>
      </w:pPr>
      <w:r>
        <w:rPr>
          <w:rFonts w:ascii="Calibri" w:hAnsi="Calibri"/>
          <w:b/>
          <w:color w:val="152A4A"/>
          <w:sz w:val="24"/>
        </w:rPr>
        <w:t>O4 · Preparación y producción de alimentos</w:t>
      </w:r>
    </w:p>
    <w:p>
      <w:pPr>
        <w:spacing w:after="80" w:line="269" w:lineRule="auto"/>
      </w:pPr>
      <w:r>
        <w:rPr>
          <w:rFonts w:ascii="Calibri" w:hAnsi="Calibri"/>
          <w:b w:val="0"/>
          <w:i/>
          <w:color w:val="555555"/>
          <w:sz w:val="18"/>
        </w:rPr>
        <w:t>Responsable: Juan Carlos Espinoza Quispe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474"/>
        <w:gridCol w:w="1871"/>
        <w:gridCol w:w="907"/>
        <w:gridCol w:w="1928"/>
        <w:gridCol w:w="1928"/>
      </w:tblGrid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Indicador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¿Qué mide?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Fórmula de cálculo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Meta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¿Qué resultado evidenciaría una desviación?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¿Qué acción realizaría ante la desviación?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1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Tiempo promedio de preparación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Rapidez con la que se elabora un producto desde que inicia su preparación.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Suma de tiempos de preparación registrados / N.° de productos preparados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≤ 12 min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(Diario)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Supera los 12 minutos en promedio diario.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Verificar que el mise en place esté completo al inicio del turno y reforzar personal en la estación con mayor demora.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2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% de cumplimiento de receta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Proporción de productos elaborados siguiendo exactamente el gramaje y procedimiento estándar.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(N.° de productos conforme a receta / Total de productos elaborados) × 100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≥ 95 %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(Semanal)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Cae por debajo del 95 % semanal.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Reforzar la capacitación en el recetario estándar y verificar el cumplimiento en la supervisión de turno.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3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Tasa de reproceso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Proporción de productos que deben volver a prepararse por no cumplir el estándar.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(N.° de productos reprocesados / Total de productos elaborados) × 100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≤ 2 %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(Diario)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Supera el 2 % diario.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Analizar la causa del reproceso (insumo, técnica, equipo) con el jefe de turno y corregir en el siguiente servicio.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4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% de productos conformes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Proporción de productos que pasan el control de calidad e inocuidad antes de servir o despachar.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(N.° de productos conformes / Total de productos verificados) × 100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≥ 98 %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(Diario)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Cae por debajo del 98 % diario.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Detener la línea afectada, identificar la causa raíz y reforzar el control de calidad en el punto detectado.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5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Desperdicio por sobreproducción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Proporción de producto elaborado en exceso que no se vende y se descarta.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(Costo de producto descartado por sobreproducción / Costo total de producción) × 100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≤ 1,5 %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(Diario)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Supera el 1,5 % diario.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Ajustar la programación de producción al pronóstico de demanda real por franja horaria.</w:t>
            </w:r>
          </w:p>
        </w:tc>
      </w:tr>
    </w:tbl>
    <w:p>
      <w:pPr>
        <w:spacing w:after="120" w:line="269" w:lineRule="auto"/>
      </w:pPr>
      <w:r>
        <w:rPr>
          <w:rFonts w:ascii="Calibri" w:hAnsi="Calibri"/>
          <w:b w:val="0"/>
          <w:i w:val="0"/>
          <w:color w:val="222222"/>
          <w:sz w:val="21"/>
        </w:rPr>
      </w:r>
    </w:p>
    <w:p>
      <w:pPr>
        <w:spacing w:before="280" w:after="80"/>
      </w:pPr>
      <w:r>
        <w:rPr>
          <w:rFonts w:ascii="Calibri" w:hAnsi="Calibri"/>
          <w:b/>
          <w:color w:val="152A4A"/>
          <w:sz w:val="24"/>
        </w:rPr>
        <w:t>O5 · Atención y servicio al cliente</w:t>
      </w:r>
    </w:p>
    <w:p>
      <w:pPr>
        <w:spacing w:after="80" w:line="269" w:lineRule="auto"/>
      </w:pPr>
      <w:r>
        <w:rPr>
          <w:rFonts w:ascii="Calibri" w:hAnsi="Calibri"/>
          <w:b w:val="0"/>
          <w:i/>
          <w:color w:val="555555"/>
          <w:sz w:val="18"/>
        </w:rPr>
        <w:t>Responsable: Anghelo Arroyo Mera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474"/>
        <w:gridCol w:w="1871"/>
        <w:gridCol w:w="907"/>
        <w:gridCol w:w="1928"/>
        <w:gridCol w:w="1928"/>
      </w:tblGrid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Indicador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¿Qué mide?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Fórmula de cálculo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Meta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¿Qué resultado evidenciaría una desviación?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¿Qué acción realizaría ante la desviación?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1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Tiempo promedio de espera para asignación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Tiempo que espera el cliente entre su llegada y la asignación de mesa.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Suma de (hora de asignación − hora de llegada) / N.° de clientes atendidos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≤ 5 min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(Diario)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Supera los 5 minutos en promedio diario.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Activar personal adicional en recepción y usar el tablero de estado de mesas para agilizar la rotación.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2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Tiempo pedido-entrega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Tiempo desde que se toma el pedido hasta que se sirve en la mesa.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Suma de (hora de servicio − hora de toma del pedido) / N.° de pedidos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≤ 15 min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(Diario)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Supera los 15 minutos en promedio diario.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Revisar la coordinación entre salón y cocina en el KDS y priorizar los pedidos más antiguos.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3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% de entregas correctas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Proporción de pedidos servidos sin errores respecto de lo solicitado.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(N.° de pedidos servidos correctos / Total de pedidos servidos) × 100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≥ 98 %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(Diario)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Cae por debajo del 98 % diario.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Reforzar la verificación del pedido en el POS antes de transmitirlo a cocina y capacitar en la toma de pedidos.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4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% de comprobantes emitidos correctamente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Proporción de comprobantes electrónicos emitidos sin errores de datos o montos.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(N.° de comprobantes correctos / Total de comprobantes emitidos) × 100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≥ 99 %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(Diario)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Cae por debajo del 99 % diario.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Revisar la causa del error (dato del cliente, configuración del sistema) y corregir antes del cierre del turno.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5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Cierres de caja sin diferencias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Proporción de cierres de caja del turno que concilian con lo registrado en el sistema.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(N.° de cierres sin diferencias / Total de cierres del periodo) × 100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≥ 95 %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(Diario)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Cae por debajo del 95 % diario.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Auditar el arqueo con diferencia, identificar el medio de pago afectado y reforzar el procedimiento de cobro.</w:t>
            </w:r>
          </w:p>
        </w:tc>
      </w:tr>
    </w:tbl>
    <w:p>
      <w:pPr>
        <w:spacing w:after="120" w:line="269" w:lineRule="auto"/>
      </w:pPr>
      <w:r>
        <w:rPr>
          <w:rFonts w:ascii="Calibri" w:hAnsi="Calibri"/>
          <w:b w:val="0"/>
          <w:i w:val="0"/>
          <w:color w:val="222222"/>
          <w:sz w:val="21"/>
        </w:rPr>
      </w:r>
    </w:p>
    <w:p>
      <w:pPr>
        <w:spacing w:before="280" w:after="80"/>
      </w:pPr>
      <w:r>
        <w:rPr>
          <w:rFonts w:ascii="Calibri" w:hAnsi="Calibri"/>
          <w:b/>
          <w:color w:val="152A4A"/>
          <w:sz w:val="24"/>
        </w:rPr>
        <w:t>O6 · Gestión de pedidos para llevar y delivery</w:t>
      </w:r>
    </w:p>
    <w:p>
      <w:pPr>
        <w:spacing w:after="80" w:line="269" w:lineRule="auto"/>
      </w:pPr>
      <w:r>
        <w:rPr>
          <w:rFonts w:ascii="Calibri" w:hAnsi="Calibri"/>
          <w:b w:val="0"/>
          <w:i/>
          <w:color w:val="555555"/>
          <w:sz w:val="18"/>
        </w:rPr>
        <w:t>Responsable: Alexander Joel Terrones Miranda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474"/>
        <w:gridCol w:w="1871"/>
        <w:gridCol w:w="907"/>
        <w:gridCol w:w="1928"/>
        <w:gridCol w:w="1928"/>
      </w:tblGrid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Indicador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¿Qué mide?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Fórmula de cálculo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Meta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¿Qué resultado evidenciaría una desviación?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¿Qué acción realizaría ante la desviación?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1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Tiempo pedido-a-puerta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Tiempo total desde que se recibe el pedido de delivery hasta que llega al cliente.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Suma de (hora de entrega − hora de recepción del pedido) / N.° de pedidos de delivery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≤ 40 min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(Diario)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Supera los 40 minutos en promedio diario.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Identificar en qué tramo se genera el retraso (cocina, empaque, despacho o transporte) y priorizar la cola de delivery.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2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Tiempo de espera del recojo en tienda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Tiempo que espera el cliente en el punto de recojo hasta recibir su pedido.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Suma de (hora de entrega − hora de llegada al punto de recojo) / N.° de pedidos de recojo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≤ 10 min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(Diario)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Supera los 10 minutos en promedio diario.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Sincronizar el tiempo de preparación con la hora estimada de llegada del cliente que recoge.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3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% de entregas a tiempo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Proporción de pedidos entregados dentro del tiempo prometido al cliente.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(N.° de pedidos entregados a tiempo / Total de pedidos) × 100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≥ 90 %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(Diario)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Cae por debajo del 90 % diario.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Revisar la causa del retraso con el canal o repartidor involucrado y ajustar el tiempo estimado informado.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4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% de pedidos completos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Proporción de pedidos entregados con todos los productos solicitados.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(N.° de pedidos completos / Total de pedidos despachados) × 100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≥ 98 %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(Diario)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Cae por debajo del 98 % diario.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Reforzar el checklist de empaquetado antes del despacho y registrar la causa del faltante.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5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Satisfacción con la entrega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Calificación que el cliente otorga a la experiencia de entrega.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Promedio de las calificaciones otorgadas por los clientes en el periodo (escala 1-5)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≥ 4,4 / 5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(Mensual)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Cae por debajo de 4,4/5 mensual.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Revisar los comentarios de las calificaciones bajas y priorizar acciones sobre la causa más frecuente.</w:t>
            </w:r>
          </w:p>
        </w:tc>
      </w:tr>
    </w:tbl>
    <w:p>
      <w:pPr>
        <w:spacing w:after="120" w:line="269" w:lineRule="auto"/>
      </w:pPr>
      <w:r>
        <w:rPr>
          <w:rFonts w:ascii="Calibri" w:hAnsi="Calibri"/>
          <w:b w:val="0"/>
          <w:i w:val="0"/>
          <w:color w:val="222222"/>
          <w:sz w:val="21"/>
        </w:rPr>
      </w:r>
    </w:p>
    <w:p>
      <w:pPr>
        <w:spacing w:before="280" w:after="80"/>
      </w:pPr>
      <w:r>
        <w:rPr>
          <w:rFonts w:ascii="Calibri" w:hAnsi="Calibri"/>
          <w:b/>
          <w:color w:val="152A4A"/>
          <w:sz w:val="24"/>
        </w:rPr>
        <w:t>O7 · Gestión de devoluciones, cambios y reclamos</w:t>
      </w:r>
    </w:p>
    <w:p>
      <w:pPr>
        <w:spacing w:after="80" w:line="269" w:lineRule="auto"/>
      </w:pPr>
      <w:r>
        <w:rPr>
          <w:rFonts w:ascii="Calibri" w:hAnsi="Calibri"/>
          <w:b w:val="0"/>
          <w:i/>
          <w:color w:val="555555"/>
          <w:sz w:val="18"/>
        </w:rPr>
        <w:t>Responsable: Jean Franco Paredes Aguirre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474"/>
        <w:gridCol w:w="1871"/>
        <w:gridCol w:w="907"/>
        <w:gridCol w:w="1928"/>
        <w:gridCol w:w="1928"/>
      </w:tblGrid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Indicador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¿Qué mide?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Fórmula de cálculo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Meta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¿Qué resultado evidenciaría una desviación?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¿Qué acción realizaría ante la desviación?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1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Tiempo promedio de resolución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Rapidez con que se resuelve un caso desde su registro.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Suma de (fecha de cierre − fecha de registro) / N.° de casos cerrados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≤ 48 h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(Semanal)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El promedio semanal supera las 48 h de forma sostenida, con casos acumulándose sin resolver.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Revisar la carga de casos por agente, priorizar los casos más antiguos y escalar los que superen el 80 % del plazo.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2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% resuelto dentro del SLA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Cumplimiento de los plazos comprometidos por tipo de caso.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(Casos cerrados dentro del SLA / Total de casos cerrados) × 100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≥ 90 %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(Semanal)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El porcentaje cae por debajo del 90 % en el reporte semanal.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Auditar los casos fuera de SLA para identificar el subproceso donde se genera el retraso y reforzar ese punto.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3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Resolución en primer contacto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Capacidad de resolver sin derivaciones ni seguimientos adicionales.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(Casos resueltos en el primer contacto / Total de casos recibidos) × 100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≥ 60 %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(Mensual)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Cae por debajo del 60 % mensual.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Revisar los protocolos de atención para dar mayor autonomía a primera línea y actualizar la política de compensaciones.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4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Tasa de casos por 1.000 pedidos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Nivel de fallas que llegan al cliente en la cadena operativa.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(N.° de casos registrados / N.° de pedidos del periodo) × 1.000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≤ 8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(Mensual)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Supera los 8 casos por cada 1.000 pedidos en el mes.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Comunicar el reporte de causas a los dueños de O4/O5/O6 y reforzar el punto de control con mayor frecuencia de casos.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Indicador 5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Reapertura de casos</w:t>
            </w:r>
          </w:p>
        </w:tc>
        <w:tc>
          <w:tcPr>
            <w:tcW w:type="dxa" w:w="1474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Calidad de la solución: casos cerrados que el cliente vuelve a reclamar.</w:t>
            </w:r>
          </w:p>
        </w:tc>
        <w:tc>
          <w:tcPr>
            <w:tcW w:type="dxa" w:w="1871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(Casos reabiertos / Total de casos cerrados) × 100</w:t>
            </w:r>
          </w:p>
        </w:tc>
        <w:tc>
          <w:tcPr>
            <w:tcW w:type="dxa" w:w="907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≤ 5 %</w:t>
            </w:r>
          </w:p>
          <w:p>
            <w:r>
              <w:rPr>
                <w:rFonts w:ascii="Calibri" w:hAnsi="Calibri"/>
                <w:b w:val="0"/>
                <w:i w:val="0"/>
                <w:sz w:val="16"/>
              </w:rPr>
              <w:t>(Mensual)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Supera el 5 % mensual.</w:t>
            </w:r>
          </w:p>
        </w:tc>
        <w:tc>
          <w:tcPr>
            <w:tcW w:type="dxa" w:w="192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6"/>
              </w:rPr>
              <w:t>Revisar los casos reabiertos con el responsable que los cerró y reforzar la verificación de conformidad antes del cierre.</w:t>
            </w:r>
          </w:p>
        </w:tc>
      </w:tr>
    </w:tbl>
    <w:p>
      <w:pPr>
        <w:spacing w:after="120" w:line="269" w:lineRule="auto"/>
      </w:pPr>
      <w:r>
        <w:rPr>
          <w:rFonts w:ascii="Calibri" w:hAnsi="Calibri"/>
          <w:b w:val="0"/>
          <w:i w:val="0"/>
          <w:color w:val="222222"/>
          <w:sz w:val="21"/>
        </w:rPr>
      </w:r>
    </w:p>
    <w:p>
      <w:pPr>
        <w:spacing w:before="280" w:after="160"/>
        <w:jc w:val="left"/>
        <w:pBdr>
          <w:bottom w:val="single" w:sz="8" w:space="4" w:color="1F3864"/>
        </w:pBdr>
      </w:pPr>
      <w:r>
        <w:rPr>
          <w:rFonts w:ascii="Calibri" w:hAnsi="Calibri"/>
          <w:b/>
          <w:color w:val="1F3864"/>
          <w:sz w:val="30"/>
        </w:rPr>
        <w:t>3. Notas de consistencia</w:t>
      </w:r>
    </w:p>
    <w:p>
      <w:pPr>
        <w:pStyle w:val="ListBullet"/>
        <w:spacing w:after="60"/>
      </w:pPr>
      <w:r>
        <w:rPr>
          <w:rFonts w:ascii="Calibri" w:hAnsi="Calibri"/>
          <w:color w:val="222222"/>
          <w:sz w:val="21"/>
        </w:rPr>
        <w:t>El archivo de mapa de procesos enviado individualmente por Jhon Moisés Arévalo Santos venía rotulado como “O7 · código 2.7” y con el pie de página a nombre de Jean Franco Paredes Aguirre; el contenido correspondía en realidad a O3 – Gestión de inventarios y almacenamiento (código 2.3), su proceso asignado. Se corrigió el código y la autoría al consolidar, y el contenido técnico del mapa (entradas, subprocesos, salidas) se mantuvo sin cambios por ser correcto.</w:t>
      </w:r>
    </w:p>
    <w:p>
      <w:pPr>
        <w:pStyle w:val="ListBullet"/>
        <w:spacing w:after="60"/>
      </w:pPr>
      <w:r>
        <w:rPr>
          <w:rFonts w:ascii="Calibri" w:hAnsi="Calibri"/>
          <w:color w:val="222222"/>
          <w:sz w:val="21"/>
        </w:rPr>
        <w:t>Los procesos O5 – Atención y servicio al cliente (Anghelo Arroyo Mera) y O6 – Gestión de pedidos para llevar y delivery / E3 (Alexander Joel Terrones Miranda) no tienen archivos individuales propios en la carpeta de entrega; para no dejar el consolidado incompleto se usó la versión ya validada de estos procesos en el Entregable 3 grupal (actualizado), manteniendo la atribución al responsable que figura en el mapa de responsabilidades del grupo.</w:t>
      </w:r>
    </w:p>
    <w:p>
      <w:pPr>
        <w:pStyle w:val="ListBullet"/>
        <w:spacing w:after="60"/>
      </w:pPr>
      <w:r>
        <w:rPr>
          <w:rFonts w:ascii="Calibri" w:hAnsi="Calibri"/>
          <w:color w:val="222222"/>
          <w:sz w:val="21"/>
        </w:rPr>
        <w:t>Los nombres y códigos de los siete procesos operativos (O1 a O7) son consistentes entre el mapa maestro, el Entregable 3 actualizado, el Entregable 5 y los archivos individuales revisados; no se detectaron otras discrepancias de denominación.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Pardos Chicken · Grupo 1 · Pregunta 5 – Indicadores actualizados (consolidado)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