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KPI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60"/>
        <w:gridCol w:w="1360"/>
        <w:gridCol w:w="1360"/>
        <w:gridCol w:w="1360"/>
        <w:gridCol w:w="1360"/>
        <w:gridCol w:w="1360"/>
      </w:tblGrid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Campaign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Spend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ROAS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CPA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CTR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62156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CVR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 -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€4,200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€13.46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5.30%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3.27%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Prospecting -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€6,800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1.18x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€42.24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3.39%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Retargeting - Display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€3,100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4.20x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€12.50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3.94%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Competitor - Search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€2,900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2.16x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€25.44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5F5F5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3.00%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Shopping - Google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€5,500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4.06x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€14.29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3.50%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FFFFFF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3.44%</w:t>
            </w:r>
          </w:p>
        </w:tc>
      </w:tr>
      <w:tr>
        <w:tc>
          <w:tcPr>
            <w:tcW w:type="dxa" w:w="25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Total / Avg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€22,500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3.04x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€18.44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2.03%</w:t>
            </w:r>
          </w:p>
        </w:tc>
        <w:tc>
          <w:tcPr>
            <w:tcW w:type="dxa" w:w="1360"/>
            <w:tcBorders>
              <w:top w:val="single" w:color="C8C8CD" w:sz="1"/>
              <w:left w:val="single" w:color="C8C8CD" w:sz="1"/>
              <w:bottom w:val="single" w:color="C8C8CD" w:sz="1"/>
              <w:right w:val="single" w:color="C8C8CD" w:sz="1"/>
            </w:tcBorders>
            <w:shd w:fill="D49ED4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621563"/>
                <w:sz w:val="20"/>
                <w:szCs w:val="20"/>
              </w:rPr>
              <w:t xml:space="preserve">3.43%</w:t>
            </w:r>
          </w:p>
        </w:tc>
      </w:tr>
    </w:tbl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Overall campaign performance was strong in Week 10, with a blended ROAS of 3.04x across €22,500 in total spend. Shopping – Google was the standout performer, delivering €22,330 in revenue at a 4.06x ROAS with the lowest CPA (€14.29). Prospecting – Display remains the primary optimization opportunity, with the lowest ROAS (1.18x) and highest CPA (€42.24), indicating the need for tighter audience targeting or creative refresh.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Wins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Shopping – Google delivered €22,330 in revenue at 4.06x ROAS with 385 conversions — the most efficient and highest-volume campaign this week.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Retargeting – Display achieved a 4.20x ROAS and 3.94% CVR, confirming that re-engagement audiences continue to convert at a premium rate.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Brand – Search maintained a solid 4.46x ROAS with a 5.30% CTR, showing strong brand intent and efficient demand capture.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Top 3 Areas to Improve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Prospecting – Display CPA is €42.24, more than double the account average of €18.44. ROAS of 1.18x barely breaks even.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Prospecting – Display CTR is just 0.50%, well below display benchmarks. Creative fatigue or poor audience-to-creative match is likely.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Competitor – Search ROAS of 2.16x is moderate, and CPA of €25.44 is the second-highest. Bid strategy and keyword relevance should be reviewed.</w:t>
      </w:r>
    </w:p>
    <w:p>
      <w:pPr>
        <w:spacing w:before="360" w:after="160"/>
      </w:pPr>
      <w:r>
        <w:rPr>
          <w:rFonts w:ascii="Arial" w:cs="Arial" w:eastAsia="Arial" w:hAnsi="Arial"/>
          <w:b/>
          <w:bCs/>
          <w:color w:val="621563"/>
          <w:sz w:val="28"/>
          <w:szCs w:val="28"/>
        </w:rPr>
        <w:t xml:space="preserve">Recommended Actions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Shift 15–20% of Prospecting – Display budget to Retargeting and Shopping, where CPA is 3–4x lower.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Refresh Prospecting creatives and tighten audience segments — test lookalike audiences based on recent converters.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Audit Competitor – Search keyword list: pause low-quality-score terms, add negatives, and test stronger ad copy differentiators.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C8CD" w:sz="1" w:space="4"/>
      </w:pBdr>
      <w:tabs>
        <w:tab w:val="right" w:pos="9360"/>
      </w:tabs>
    </w:pPr>
    <w:r>
      <w:rPr>
        <w:rFonts w:ascii="Arial" w:cs="Arial" w:eastAsia="Arial" w:hAnsi="Arial"/>
        <w:color w:val="78787D"/>
        <w:sz w:val="16"/>
        <w:szCs w:val="16"/>
      </w:rPr>
      <w:t xml:space="preserve">Prepared by Xebia  |  Confidential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7878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200"/>
            <w:bottom w:type="dxa" w:w="120"/>
            <w:right w:type="dxa" w:w="10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36"/>
              <w:szCs w:val="36"/>
            </w:rPr>
            <w:t xml:space="preserve">Weekly Campaign Report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621563" w:val="clear"/>
          <w:tcMar>
            <w:top w:type="dxa" w:w="120"/>
            <w:left w:type="dxa" w:w="100"/>
            <w:bottom w:type="dxa" w:w="120"/>
            <w:right w:type="dxa" w:w="200"/>
          </w:tcMar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22"/>
              <w:szCs w:val="22"/>
            </w:rPr>
            <w:t xml:space="preserve">Acme Retail</w:t>
          </w:r>
        </w:p>
        <w:p>
          <w:pPr>
            <w:jc w:val="right"/>
          </w:pPr>
          <w:r>
            <w:rPr>
              <w:rFonts w:ascii="Arial" w:cs="Arial" w:eastAsia="Arial" w:hAnsi="Arial"/>
              <w:color w:val="D49ED4"/>
              <w:sz w:val="18"/>
              <w:szCs w:val="18"/>
            </w:rPr>
            <w:t xml:space="preserve">Week 10, 2026 (Mar 2–8)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720" w:hanging="360"/>
      </w:pPr>
      <w:rPr>
        <w:rFonts w:ascii="Arial" w:cs="Arial" w:eastAsia="Arial" w:hAnsi="Arial"/>
        <w:color w:val="621563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2026-03-25T13:21:31.453Z</dcterms:created>
  <dcterms:modified xsi:type="dcterms:W3CDTF">2026-03-25T13:21:31.454Z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