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KPI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360"/>
        <w:gridCol w:w="1360"/>
        <w:gridCol w:w="1360"/>
        <w:gridCol w:w="1360"/>
        <w:gridCol w:w="1360"/>
      </w:tblGrid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ROAS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CPA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CVR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Brand Awareness – LinkedIn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€9,200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5.32x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€56.44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0.80%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3.00%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Lead Gen – Search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€14,800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9.73x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€30.83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5.00%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3.00%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Retargeting – Display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€4,300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16.19x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€12.36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3.00%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4.00%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Webinar Promo – Social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€6,100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6.69x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€29.90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2.00%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2.00%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Competitor – Search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€5,400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5.37x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€37.24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4.00%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2.50%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Total / Avg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€39,800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8.35x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€29.70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2.37%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2.90%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FinEdge Capital’s Week 12 campaigns delivered a strong blended ROAS of 8.34x on €39,800 total spend, well above the 5.0x target for financial services lead generation. Lead Gen – Search continues to be the revenue engine at 9.73x ROAS with 480 qualified leads. Brand Awareness – LinkedIn requires attention with the highest CPA (€56.44) and lowest CTR (0.80%), though this is expected for top-of-funnel B2B awareness on LinkedIn.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Top 3 Wins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Lead Gen – Search delivered €144,000 at 9.73x ROAS with a €30.83 CPA — the most efficient channel and 34% ahead of the €47/lead target set in the client brief.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Retargeting – Display achieved a 16.19x ROAS and 4.00% CVR on just €4,300 spend, confirming strong re-engagement with prospects who visited the portfolio management tool landing pages.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Webinar Promo – Social generated 204 registrations at €29.90 each, exceeding the 150-registration weekly target by 36%. Conversion rate of 2.00% is strong for cold social audiences.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Top 3 Areas to Improve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Brand Awareness – LinkedIn CPA of €56.44 is 20% above the €47 account target. While awareness campaigns carry inherently higher CPAs, the 0.80% CTR suggests audience fatigue or creative misalignment.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Competitor – Search CPA of €37.24 trails Lead Gen – Search by 21%. Quality scores on competitor brand terms are averaging 4/10, driving up cost-per-click.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Overall click volume on LinkedIn is limited (5,440 clicks from 680K impressions). Expanding to InMail and conversation ad formats could improve engagement rates.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Recommended Actions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Increase Retargeting – Display budget by 25% (€1,075) funded from Brand Awareness – LinkedIn, given the 16.19x ROAS and room to scale before frequency saturation.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Refresh LinkedIn creatives with client testimonial videos and case study carousels; A/B test against current static image ads to improve CTR above the 1.0% benchmark.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Audit Competitor – Search terms: implement single-keyword ad groups (SKAGs) for top 5 competitor brands and create dedicated comparison landing pages to lift quality scores from 4/10 to 7/10.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8CD" w:sz="1" w:space="4"/>
      </w:pBdr>
      <w:tabs>
        <w:tab w:val="right" w:pos="9360"/>
      </w:tabs>
    </w:pPr>
    <w:r>
      <w:rPr>
        <w:rFonts w:ascii="Arial" w:cs="Arial" w:eastAsia="Arial" w:hAnsi="Arial"/>
        <w:color w:val="78787D"/>
        <w:sz w:val="16"/>
        <w:szCs w:val="16"/>
      </w:rPr>
      <w:t xml:space="preserve">Prepared by Xebia  |  Confidential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7878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621563" w:val="clear"/>
          <w:tcMar>
            <w:top w:type="dxa" w:w="120"/>
            <w:left w:type="dxa" w:w="200"/>
            <w:bottom w:type="dxa" w:w="12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36"/>
              <w:szCs w:val="36"/>
            </w:rPr>
            <w:t xml:space="preserve">Weekly Campaign Report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621563" w:val="clear"/>
          <w:tcMar>
            <w:top w:type="dxa" w:w="120"/>
            <w:left w:type="dxa" w:w="100"/>
            <w:bottom w:type="dxa" w:w="12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FinEdge Capital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D49ED4"/>
              <w:sz w:val="18"/>
              <w:szCs w:val="18"/>
            </w:rPr>
            <w:t xml:space="preserve">Week 12, 2026 (Mar 16–22)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rFonts w:ascii="Arial" w:cs="Arial" w:eastAsia="Arial" w:hAnsi="Arial"/>
        <w:color w:val="621563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2026-03-25T13:26:26.798Z</dcterms:created>
  <dcterms:modified xsi:type="dcterms:W3CDTF">2026-03-25T13:26:26.798Z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