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KPI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360"/>
        <w:gridCol w:w="1360"/>
        <w:gridCol w:w="1360"/>
        <w:gridCol w:w="1360"/>
        <w:gridCol w:w="1360"/>
      </w:tblGrid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CPA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CVR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Brand – Search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€12,500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5.26x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€13.30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5.50%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3.29%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Launch – Display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€18,200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1.25x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€48.15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Retargeting – Social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€8,900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4.91x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€13.24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4.00%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Competitor Conquest – Search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€7,600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2.08x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€28.79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4.20%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2.99%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Shopping – Google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€15,300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5.70x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€12.28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4.00%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Total / Avg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€62,500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3.76x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€17.86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2.50%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3.34%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NovaTech’s Q4 Week 3 campaigns delivered a blended 3.76x ROAS across €62,500 in total spend, exceeding the 3.0x account-level target. Shopping – Google was the standout channel, generating €87,220 in revenue with the highest conversion volume (1,246). Product Launch – Display remains the key optimization area with a 1.25x ROAS, reflecting expected upper-funnel inefficiency during the SaaS platform launch phase.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Top 3 Wins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Shopping – Google generated €87,220 at 5.70x ROAS with 1,246 conversions — the best-performing campaign across all KPIs and a 22% revenue increase vs. Q4 Wk 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Retargeting – Social delivered 4.91x ROAS at a €13.24 CPA, validating the lookalike audience strategy launched in September. CVR of 3.50% is 40% above account average.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Brand – Search CTR of 5.50% and 5.26x ROAS confirm NovaTech’s growing brand recognition following the September product announcement campaign.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Top 3 Areas to Improve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Product Launch – Display CPA of €48.15 is 2.6x the account average of €18.66. While awareness is the primary objective, creative refresh is overdue after 4 weeks in market.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Product Launch – Display CTR of 0.60% sits below the 0.80% display benchmark. A/B testing new ad formats (video, interactive) should be prioritized.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Competitor Conquest – Search ROAS of 2.08x is the second-lowest. Keyword quality scores average 5/10, suggesting ad copy-to-landing page alignment issues.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Recommended Actions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Reallocate 20% of Product Launch – Display budget (€3,640) to Shopping – Google and Retargeting – Social, which have demonstrated stronger bottom-funnel efficiency.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Launch fresh Product Launch creative variants this week: test 15-second video ads and carousel formats to combat banner fatigue and lift CTR above 0.80%.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Conduct a keyword audit on Competitor Conquest – Search: pause terms with quality score below 5, add negative keywords for irrelevant SaaS queries, and test competitor-specific landing pages.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D" w:sz="1" w:space="4"/>
      </w:pBdr>
      <w:tabs>
        <w:tab w:val="right" w:pos="9360"/>
      </w:tabs>
    </w:pPr>
    <w:r>
      <w:rPr>
        <w:rFonts w:ascii="Arial" w:cs="Arial" w:eastAsia="Arial" w:hAnsi="Arial"/>
        <w:color w:val="78787D"/>
        <w:sz w:val="16"/>
        <w:szCs w:val="16"/>
      </w:rPr>
      <w:t xml:space="preserve">Prepared by Xebia  | 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878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36"/>
              <w:szCs w:val="36"/>
            </w:rPr>
            <w:t xml:space="preserve">Weekly Campaign Report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1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NovaTech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49ED4"/>
              <w:sz w:val="18"/>
              <w:szCs w:val="18"/>
            </w:rPr>
            <w:t xml:space="preserve">Q4 Wk 3, 2025 (Oct 13–19)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rFonts w:ascii="Arial" w:cs="Arial" w:eastAsia="Arial" w:hAnsi="Arial"/>
        <w:color w:val="62156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2026-03-25T13:26:26.616Z</dcterms:created>
  <dcterms:modified xsi:type="dcterms:W3CDTF">2026-03-25T13:26:26.616Z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