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Company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GreenLeaf Organics is a direct-to-consumer organic food brand based in Zurich, Switzerland, founded in 2019. The company sells organic meal kits, snack boxes, and pantry staples through its e-commerce platform (greenleaf-organics.ch) and select retail partners. Annual revenue reached CHF 14.2M in 2025, with 68% from online sales. The brand positions itself as a premium, sustainable alternative to conventional grocery delivery.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Campaign Objectives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Drive a 25% increase in online subscription sign-ups (from 1,800 to 2,250 per month) by end of Q1 2026.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Maintain blended ROAS above 3.5x across all paid channels while scaling spend by 30%.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Grow brand awareness in the German-speaking Swiss market, targeting a 15% lift in branded search volume.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Reduce customer acquisition cost (CAC) from CHF 38 to below CHF 30 through improved audience targeting and creative optimization.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Target Audiences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22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22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</w:tr>
      <w:tr>
        <w:tc>
          <w:tcPr>
            <w:tcW w:type="dxa" w:w="240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Health-Conscious Professionals</w:t>
            </w:r>
          </w:p>
        </w:tc>
        <w:tc>
          <w:tcPr>
            <w:tcW w:type="dxa" w:w="240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 28–45, urban, HHI &gt;CHF 90K</w:t>
            </w:r>
          </w:p>
        </w:tc>
        <w:tc>
          <w:tcPr>
            <w:tcW w:type="dxa" w:w="22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Search, Instagram, YouTube</w:t>
            </w:r>
          </w:p>
        </w:tc>
        <w:tc>
          <w:tcPr>
            <w:tcW w:type="dxa" w:w="22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"Healthy eating made effortless"</w:t>
            </w:r>
          </w:p>
        </w:tc>
      </w:tr>
      <w:tr>
        <w:tc>
          <w:tcPr>
            <w:tcW w:type="dxa" w:w="240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Eco-Minded Families</w:t>
            </w:r>
          </w:p>
        </w:tc>
        <w:tc>
          <w:tcPr>
            <w:tcW w:type="dxa" w:w="240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 30–50, suburban, 1–3 children</w:t>
            </w:r>
          </w:p>
        </w:tc>
        <w:tc>
          <w:tcPr>
            <w:tcW w:type="dxa" w:w="22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Facebook, Google Shopping, Display</w:t>
            </w:r>
          </w:p>
        </w:tc>
        <w:tc>
          <w:tcPr>
            <w:tcW w:type="dxa" w:w="22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"Feed your family, protect the planet"</w:t>
            </w:r>
          </w:p>
        </w:tc>
      </w:tr>
      <w:tr>
        <w:tc>
          <w:tcPr>
            <w:tcW w:type="dxa" w:w="240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Fitness Enthusiasts</w:t>
            </w:r>
          </w:p>
        </w:tc>
        <w:tc>
          <w:tcPr>
            <w:tcW w:type="dxa" w:w="240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 22–38, active lifestyle, any geo</w:t>
            </w:r>
          </w:p>
        </w:tc>
        <w:tc>
          <w:tcPr>
            <w:tcW w:type="dxa" w:w="22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Instagram, TikTok, YouTube</w:t>
            </w:r>
          </w:p>
        </w:tc>
        <w:tc>
          <w:tcPr>
            <w:tcW w:type="dxa" w:w="22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"Fuel your performance, naturally"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Budget &amp; Allocation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 Q1 2026 budget: CHF 135,000 (CHF 45,000/month). Recommended allocation: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Budget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Search (Brand + Generic)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CHF 11,250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Conversions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Shopping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CHF 9,000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 / ROAS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 (Instagram + Facebook)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CHF 10,800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Awareness + Conversions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CHF 5,400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12%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Awareness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Retargeting (Display + Social)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CHF 6,750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Conversions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CHF 1,800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4%</w:t>
            </w:r>
          </w:p>
        </w:tc>
        <w:tc>
          <w:tcPr>
            <w:tcW w:type="dxa" w:w="208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Awareness (test)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KPI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(Q4 2025)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2026 Target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Blended ROAS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3.2x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&gt;3.5x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Acquisition Cost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CHF 38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&lt;CHF 30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Subscriptions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1,800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2,250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Branded Search Volume Lift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+15%</w:t>
            </w:r>
          </w:p>
        </w:tc>
      </w:tr>
      <w:tr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List Growth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22,000 subscribers</w:t>
            </w:r>
          </w:p>
        </w:tc>
        <w:tc>
          <w:tcPr>
            <w:tcW w:type="dxa" w:w="312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28,000 subscribers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Creative Direction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creative assets should emphasize GreenLeaf’s three brand pillars: freshness, sustainability, and convenience. Photography should feature real ingredients with natural lighting—no artificial studio setups. Video content should be 15–30 seconds, mobile-first, with subtitles. UGC-style content has outperformed polished brand content by 2.3x in Q4 2025 testing.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Reporting Cadence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Weekly performance reports delivered every Monday by 10:00 CET. Monthly deep-dive with strategic recommendations on the first Thursday of each month. Quarterly business review scheduled for April 8, 2026.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D" w:sz="1" w:space="4"/>
      </w:pBdr>
      <w:tabs>
        <w:tab w:val="right" w:pos="9360"/>
      </w:tabs>
    </w:pPr>
    <w:r>
      <w:rPr>
        <w:rFonts w:ascii="Arial" w:cs="Arial" w:eastAsia="Arial" w:hAnsi="Arial"/>
        <w:color w:val="78787D"/>
        <w:sz w:val="16"/>
        <w:szCs w:val="16"/>
      </w:rPr>
      <w:t xml:space="preserve">Prepared by Xebia  | 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878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36"/>
              <w:szCs w:val="36"/>
            </w:rPr>
            <w:t xml:space="preserve">Client Brief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1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GreenLeaf Organics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49ED4"/>
              <w:sz w:val="18"/>
              <w:szCs w:val="18"/>
            </w:rPr>
            <w:t xml:space="preserve">Q1 2026 Campaign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rFonts w:ascii="Arial" w:cs="Arial" w:eastAsia="Arial" w:hAnsi="Arial"/>
        <w:color w:val="62156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2026-03-25T13:26:26.905Z</dcterms:created>
  <dcterms:modified xsi:type="dcterms:W3CDTF">2026-03-25T13:26:26.905Z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