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160"/>
      </w:pPr>
      <w:r>
        <w:rPr>
          <w:rFonts w:ascii="Arial" w:cs="Arial" w:eastAsia="Arial" w:hAnsi="Arial"/>
          <w:b/>
          <w:bCs/>
          <w:color w:val="621563"/>
          <w:sz w:val="28"/>
          <w:szCs w:val="28"/>
        </w:rPr>
        <w:t xml:space="preserve">Company Overview</w:t>
      </w:r>
    </w:p>
    <w:p>
      <w:pPr>
        <w:spacing w:after="120"/>
      </w:pPr>
      <w:r>
        <w:rPr>
          <w:rFonts w:ascii="Arial" w:cs="Arial" w:eastAsia="Arial" w:hAnsi="Arial"/>
          <w:color w:val="000000"/>
          <w:sz w:val="22"/>
          <w:szCs w:val="22"/>
        </w:rPr>
        <w:t xml:space="preserve">TechNova is a B2B SaaS company providing cloud-native security and compliance automation to mid-market and enterprise organizations (500–10,000 employees). Founded in 2019 and headquartered in Zurich, Switzerland, TechNova has raised CHF 45M in Series B funding and currently serves 380+ customers across EMEA and North America. Annual contract values range from €15,000 to €180,000, with an average ACV of €42,000.</w:t>
      </w:r>
    </w:p>
    <w:p>
      <w:pPr>
        <w:spacing w:before="360" w:after="160"/>
      </w:pPr>
      <w:r>
        <w:rPr>
          <w:rFonts w:ascii="Arial" w:cs="Arial" w:eastAsia="Arial" w:hAnsi="Arial"/>
          <w:b/>
          <w:bCs/>
          <w:color w:val="621563"/>
          <w:sz w:val="28"/>
          <w:szCs w:val="28"/>
        </w:rPr>
        <w:t xml:space="preserve">Business Objectives</w:t>
      </w:r>
    </w:p>
    <w:p>
      <w:pPr>
        <w:spacing w:after="120"/>
      </w:pPr>
      <w:r>
        <w:rPr>
          <w:rFonts w:ascii="Arial" w:cs="Arial" w:eastAsia="Arial" w:hAnsi="Arial"/>
          <w:color w:val="000000"/>
          <w:sz w:val="22"/>
          <w:szCs w:val="22"/>
        </w:rPr>
        <w:t xml:space="preserve">TechNova’s primary goal for 2026 is to grow net-new ARR by 40% year-over-year, reaching €28M by December 2026 (up from €20M in 2025). Secondary objectives include reducing customer acquisition cost (CAC) from €8,200 to €6,500 and increasing marketing-sourced pipeline from 35% to 50% of total pipeline.</w:t>
      </w:r>
    </w:p>
    <w:p>
      <w:pPr>
        <w:spacing w:before="360" w:after="160"/>
      </w:pPr>
      <w:r>
        <w:rPr>
          <w:rFonts w:ascii="Arial" w:cs="Arial" w:eastAsia="Arial" w:hAnsi="Arial"/>
          <w:b/>
          <w:bCs/>
          <w:color w:val="621563"/>
          <w:sz w:val="28"/>
          <w:szCs w:val="28"/>
        </w:rPr>
        <w:t xml:space="preserve">Target Audience</w:t>
      </w:r>
    </w:p>
    <w:p>
      <w:pPr>
        <w:spacing w:after="120"/>
      </w:pPr>
      <w:r>
        <w:rPr>
          <w:rFonts w:ascii="Arial" w:cs="Arial" w:eastAsia="Arial" w:hAnsi="Arial"/>
          <w:color w:val="000000"/>
          <w:sz w:val="22"/>
          <w:szCs w:val="22"/>
        </w:rPr>
        <w:t xml:space="preserve">Primary persona: CISO / VP of Security at mid-market tech companies (500–5,000 employees) evaluating cloud security posture management (CSPM) solutions. Secondary persona: Head of IT / DevOps Lead at companies migrating workloads to AWS/Azure and needing automated compliance. Geographic focus: DACH region (60% of budget) and UK (25%), with the remaining 15% allocated to Benelux expansion.</w:t>
      </w:r>
    </w:p>
    <w:p>
      <w:pPr>
        <w:spacing w:before="360" w:after="160"/>
      </w:pPr>
      <w:r>
        <w:rPr>
          <w:rFonts w:ascii="Arial" w:cs="Arial" w:eastAsia="Arial" w:hAnsi="Arial"/>
          <w:b/>
          <w:bCs/>
          <w:color w:val="621563"/>
          <w:sz w:val="28"/>
          <w:szCs w:val="28"/>
        </w:rPr>
        <w:t xml:space="preserve">Paid Media Strategy</w:t>
      </w:r>
    </w:p>
    <w:p>
      <w:pPr>
        <w:spacing w:after="120"/>
      </w:pPr>
      <w:r>
        <w:rPr>
          <w:rFonts w:ascii="Arial" w:cs="Arial" w:eastAsia="Arial" w:hAnsi="Arial"/>
          <w:color w:val="000000"/>
          <w:sz w:val="22"/>
          <w:szCs w:val="22"/>
        </w:rPr>
        <w:t xml:space="preserve">Xebia manages TechNova’s full paid media portfolio across Google Ads, LinkedIn Ads, Meta (retargeting only), and content syndication partners. Monthly media budget: €95,000–€110,000. Channel allocation: LinkedIn ABM (35%), Google Search + Demand Gen (30%), Content Syndication (20%), Meta Retargeting (15%). KPI targets: blended ROAS ≥ 3.5x, CPA ≤ €40 for Google channels, CPA ≤ €150 for LinkedIn ABM (higher ACV justifies premium CPA), overall CTR ≥ 1.5%.</w:t>
      </w:r>
    </w:p>
    <w:p>
      <w:pPr>
        <w:spacing w:before="360" w:after="160"/>
      </w:pPr>
      <w:r>
        <w:rPr>
          <w:rFonts w:ascii="Arial" w:cs="Arial" w:eastAsia="Arial" w:hAnsi="Arial"/>
          <w:b/>
          <w:bCs/>
          <w:color w:val="621563"/>
          <w:sz w:val="28"/>
          <w:szCs w:val="28"/>
        </w:rPr>
        <w:t xml:space="preserve">Key Campaigns</w:t>
      </w:r>
    </w:p>
    <w:p>
      <w:pPr>
        <w:spacing w:after="120"/>
      </w:pPr>
      <w:r>
        <w:rPr>
          <w:rFonts w:ascii="Arial" w:cs="Arial" w:eastAsia="Arial" w:hAnsi="Arial"/>
          <w:color w:val="000000"/>
          <w:sz w:val="22"/>
          <w:szCs w:val="22"/>
        </w:rPr>
        <w:t xml:space="preserve">Brand Search: always-on campaign capturing brand and branded-competitor queries. LinkedIn ABM: account-based targeting of 1,200 named accounts using matched audiences and lookalikes. Google Demand Gen: YouTube + Discovery ads targeting in-market audiences for cloud security. Retargeting – Meta: re-engagement of website visitors and content downloaders within a 30-day window. Content Syndication: gated asset distribution through TechTarget and Bombora intent data partners.</w:t>
      </w:r>
    </w:p>
    <w:p>
      <w:pPr>
        <w:spacing w:before="360" w:after="160"/>
      </w:pPr>
      <w:r>
        <w:rPr>
          <w:rFonts w:ascii="Arial" w:cs="Arial" w:eastAsia="Arial" w:hAnsi="Arial"/>
          <w:b/>
          <w:bCs/>
          <w:color w:val="621563"/>
          <w:sz w:val="28"/>
          <w:szCs w:val="28"/>
        </w:rPr>
        <w:t xml:space="preserve">Reporting Cadence</w:t>
      </w:r>
    </w:p>
    <w:p>
      <w:pPr>
        <w:spacing w:after="120"/>
      </w:pPr>
      <w:r>
        <w:rPr>
          <w:rFonts w:ascii="Arial" w:cs="Arial" w:eastAsia="Arial" w:hAnsi="Arial"/>
          <w:color w:val="000000"/>
          <w:sz w:val="22"/>
          <w:szCs w:val="22"/>
        </w:rPr>
        <w:t xml:space="preserve">Weekly performance reports are delivered every Monday by 10:00 CET, covering the prior Monday–Sunday period. Monthly business reviews include a deeper pipeline analysis, creative performance teardown, and budget reallocation recommendations. Quarterly strategy sessions align paid media with TechNova’s product launches and seasonal demand patterns (typically Q4 budget season drives highest intent).</w:t>
      </w:r>
    </w:p>
    <w:p>
      <w:pPr>
        <w:spacing w:before="360" w:after="160"/>
      </w:pPr>
      <w:r>
        <w:rPr>
          <w:rFonts w:ascii="Arial" w:cs="Arial" w:eastAsia="Arial" w:hAnsi="Arial"/>
          <w:b/>
          <w:bCs/>
          <w:color w:val="621563"/>
          <w:sz w:val="28"/>
          <w:szCs w:val="28"/>
        </w:rPr>
        <w:t xml:space="preserve">Stakeholders</w:t>
      </w:r>
    </w:p>
    <w:p>
      <w:pPr>
        <w:spacing w:after="120"/>
      </w:pPr>
      <w:r>
        <w:rPr>
          <w:rFonts w:ascii="Arial" w:cs="Arial" w:eastAsia="Arial" w:hAnsi="Arial"/>
          <w:color w:val="000000"/>
          <w:sz w:val="22"/>
          <w:szCs w:val="22"/>
        </w:rPr>
        <w:t xml:space="preserve">Client side: Laura Meier (CMO, final approver), Jonas Keller (Head of Demand Generation, day-to-day contact), Priya Sharma (Marketing Ops, CRM and attribution). Xebia side: Marco Rossi (Account Director), Annika Bauer (Paid Media Lead), David Chen (Data Analyst).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D" w:sz="1" w:space="4"/>
      </w:pBdr>
      <w:tabs>
        <w:tab w:val="right" w:pos="9360"/>
      </w:tabs>
    </w:pPr>
    <w:r>
      <w:rPr>
        <w:rFonts w:ascii="Arial" w:cs="Arial" w:eastAsia="Arial" w:hAnsi="Arial"/>
        <w:color w:val="78787D"/>
        <w:sz w:val="16"/>
        <w:szCs w:val="16"/>
      </w:rPr>
      <w:t xml:space="preserve">Prepared by Xebia  |  Confidential</w:t>
    </w:r>
    <w:r>
      <w:rPr>
        <w:rFonts w:ascii="Arial" w:cs="Arial" w:eastAsia="Arial" w:hAnsi="Arial"/>
      </w:rPr>
      <w:t xml:space="preserve">	</w:t>
    </w:r>
    <w:r>
      <w:rPr>
        <w:rFonts w:ascii="Arial" w:cs="Arial" w:eastAsia="Arial" w:hAnsi="Arial"/>
        <w:color w:val="7878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621563" w:val="clear"/>
          <w:tcMar>
            <w:top w:type="dxa" w:w="120"/>
            <w:left w:type="dxa" w:w="200"/>
            <w:bottom w:type="dxa" w:w="120"/>
            <w:right w:type="dxa" w:w="100"/>
          </w:tcMar>
        </w:tcPr>
        <w:p>
          <w:r>
            <w:rPr>
              <w:rFonts w:ascii="Arial" w:cs="Arial" w:eastAsia="Arial" w:hAnsi="Arial"/>
              <w:b/>
              <w:bCs/>
              <w:color w:val="FFFFFF"/>
              <w:sz w:val="36"/>
              <w:szCs w:val="36"/>
            </w:rPr>
            <w:t xml:space="preserve">Client Onboarding Brief</w:t>
          </w:r>
        </w:p>
      </w:tc>
      <w:tc>
        <w:tcPr>
          <w:tcW w:type="dxa" w:w="3360"/>
          <w:tcBorders>
            <w:top w:val="none" w:color="FFFFFF" w:sz="0"/>
            <w:left w:val="none" w:color="FFFFFF" w:sz="0"/>
            <w:bottom w:val="none" w:color="FFFFFF" w:sz="0"/>
            <w:right w:val="none" w:color="FFFFFF" w:sz="0"/>
          </w:tcBorders>
          <w:shd w:fill="621563" w:val="clear"/>
          <w:tcMar>
            <w:top w:type="dxa" w:w="120"/>
            <w:left w:type="dxa" w:w="100"/>
            <w:bottom w:type="dxa" w:w="120"/>
            <w:right w:type="dxa" w:w="200"/>
          </w:tcMar>
        </w:tcPr>
        <w:p>
          <w:pPr>
            <w:jc w:val="right"/>
          </w:pPr>
          <w:r>
            <w:rPr>
              <w:rFonts w:ascii="Arial" w:cs="Arial" w:eastAsia="Arial" w:hAnsi="Arial"/>
              <w:b/>
              <w:bCs/>
              <w:color w:val="FFFFFF"/>
              <w:sz w:val="22"/>
              <w:szCs w:val="22"/>
            </w:rPr>
            <w:t xml:space="preserve">TechNova</w:t>
          </w:r>
        </w:p>
        <w:p>
          <w:pPr>
            <w:jc w:val="right"/>
          </w:pPr>
          <w:r>
            <w:rPr>
              <w:rFonts w:ascii="Arial" w:cs="Arial" w:eastAsia="Arial" w:hAnsi="Arial"/>
              <w:color w:val="D49ED4"/>
              <w:sz w:val="18"/>
              <w:szCs w:val="18"/>
            </w:rPr>
            <w:t xml:space="preserve">January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621563"/>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5"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2026-03-25T13:21:31.467Z</dcterms:created>
  <dcterms:modified xsi:type="dcterms:W3CDTF">2026-03-25T13:21:31.467Z</dcterms:modified>
</cp:coreProperties>
</file>

<file path=docProps/custom.xml><?xml version="1.0" encoding="utf-8"?>
<Properties xmlns="http://schemas.openxmlformats.org/officeDocument/2006/custom-properties" xmlns:vt="http://schemas.openxmlformats.org/officeDocument/2006/docPropsVTypes"/>
</file>