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KPI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60"/>
        <w:gridCol w:w="1360"/>
        <w:gridCol w:w="1360"/>
        <w:gridCol w:w="1360"/>
        <w:gridCol w:w="1360"/>
      </w:tblGrid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CVR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 -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€4,200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4.46x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€13.46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5.30%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3.27%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Prospecting - Display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€6,800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1.18x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€42.24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3.39%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Retargeting - Display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€3,100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4.20x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€12.50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3.94%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Competitor -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€2,900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2.16x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€25.44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Shopping - Google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€5,500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€14.29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3.44%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Total / Avg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€22,500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3.04x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€18.44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2.03%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3.43%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Overall campaign performance was strong in Week 10, with a blended ROAS of 3.04x across €22,500 in total spend. Shopping – Google was the standout performer, delivering the highest revenue (€22,330) at a healthy 4.06x ROAS and the lowest CPA (€14.29). Prospecting – Display remains the key area for improvement, with the lowest ROAS (1.18x) and highest CPA (€42.24), indicating that upper-funnel spend needs tighter audience targeting or creative refresh.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Wins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Shopping – Google delivered €22,330 in revenue at 4.06x ROAS with 385 conversions — the most efficient and highest-volume campaign this week.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Retargeting – Display achieved a 4.20x ROAS and 3.94% CVR, confirming that re-engagement audiences continue to convert at a premium rate.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Brand – Search maintained a solid 4.46x ROAS with a 5.30% CTR, showing strong brand intent and efficient capture of demand.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Areas to Improve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Prospecting – Display CPA is €42.24, more than double the account average of €18.44. ROAS of 1.18x barely breaks even and signals wasted upper-funnel spend.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Prospecting – Display CTR is just 0.50%, well below the display benchmark. Creative fatigue or poor audience-to-creative match may be the root cause.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Competitor – Search ROAS of 2.16x is moderate, and CPA of €25.44 is the second-highest. Bid strategy and keyword relevance should be reviewed.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Recommended Actions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Shift 15–20% of Prospecting – Display budget to Retargeting – Display and Shopping – Google, where CPA is 3–4x lower and ROAS significantly stronger.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Refresh Prospecting – Display creatives and tighten audience segments — test lookalike audiences based on recent converters to improve CTR and CVR.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Audit Competitor – Search keyword list: pause low-quality-score terms, add negatives for irrelevant queries, and test ad copy with stronger differentiators.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D" w:sz="1" w:space="4"/>
      </w:pBdr>
      <w:tabs>
        <w:tab w:val="right" w:pos="9360"/>
      </w:tabs>
    </w:pPr>
    <w:r>
      <w:rPr>
        <w:rFonts w:ascii="Arial" w:cs="Arial" w:eastAsia="Arial" w:hAnsi="Arial"/>
        <w:color w:val="78787D"/>
        <w:sz w:val="16"/>
        <w:szCs w:val="16"/>
      </w:rPr>
      <w:t xml:space="preserve">Prepared by Xebia  |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878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200"/>
            <w:bottom w:type="dxa" w:w="120"/>
            <w:right w:type="dxa" w:w="10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Weekly Campaign Report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Acme Retail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49ED4"/>
              <w:sz w:val="18"/>
              <w:szCs w:val="18"/>
            </w:rPr>
            <w:t xml:space="preserve">Week 10, 2026 (Mar 2–8)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62156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2026-03-12T07:30:19.781Z</dcterms:created>
  <dcterms:modified xsi:type="dcterms:W3CDTF">2026-03-12T07:30:19.782Z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