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FinEdge Capital</w:t>
      </w:r>
    </w:p>
    <w:p>
      <w:pPr>
        <w:spacing w:after="400"/>
        <w:jc w:val="center"/>
      </w:pPr>
      <w:r>
        <w:t xml:space="preserve">2025 Annual Digital Marketing Campaign Brief</w:t>
      </w:r>
    </w:p>
    <w:p>
      <w:pPr>
        <w:spacing w:after="1000"/>
      </w:pPr>
    </w:p>
    <w:p>
      <w:pPr>
        <w:spacing w:after="100"/>
        <w:jc w:val="center"/>
      </w:pPr>
      <w:r>
        <w:t xml:space="preserve">Prepared for FinEdge Capital AG</w:t>
      </w:r>
    </w:p>
    <w:p>
      <w:pPr>
        <w:spacing w:after="100"/>
        <w:jc w:val="center"/>
      </w:pPr>
      <w:r>
        <w:t xml:space="preserve">Zurich, Switzerland</w:t>
      </w:r>
    </w:p>
    <w:p>
      <w:pPr>
        <w:spacing w:after="400"/>
        <w:jc w:val="center"/>
      </w:pPr>
      <w:r>
        <w:t xml:space="preserve">April 2025</w:t>
      </w:r>
    </w:p>
    <w:r>
      <w:br w:type="page"/>
    </w:r>
    <w:p>
      <w:pPr>
        <w:pStyle w:val="Heading1"/>
        <w:spacing w:after="200"/>
      </w:pPr>
      <w:r>
        <w:t xml:space="preserve">1. Executive Summary</w:t>
      </w:r>
    </w:p>
    <w:p>
      <w:pPr>
        <w:spacing w:after="200"/>
      </w:pPr>
      <w:r>
        <w:t xml:space="preserve">FinEdge Capital stands at a pivotal moment in its organizational history. As we enter 2025, the digital transformation of wealth management is no longer a future state—it is the present competitive reality. The firm's 2025 digital marketing strategy must reflect a sophisticated understanding of how ultra-high-net-worth individuals, institutional investors, and family offices discover, evaluate, and ultimately engage with wealth management providers in an increasingly digital-first world.</w:t>
      </w:r>
    </w:p>
    <w:p>
      <w:pPr>
        <w:spacing w:after="200"/>
      </w:pPr>
      <w:r>
        <w:t xml:space="preserve">The mandate for this campaign is clear: acquire CHF 4.2 billion in assets under management annually through digital channels while maintaining the trust, exclusivity, and regulatory compliance that define FinEdge Capital's market position. With a total annual budget of EUR 1,120,000, we will orchestrate a multi-channel digital marketing program that spans Google Search, LinkedIn, YouTube, Content Syndication, Display Advertising, and Webinar Marketing. This budget represents a 12 percent increase over 2024 spend, reflecting the strategic importance of digital acquisition in FinEdge's overall growth trajectory.</w:t>
      </w:r>
    </w:p>
    <w:p>
      <w:pPr>
        <w:spacing w:after="200"/>
      </w:pPr>
      <w:r>
        <w:t xml:space="preserve">Digital marketing for wealth management operates under fundamentally different rules than consumer marketing. The sales cycles are measured in months, not days. The decision-making units are complex, often involving multiple stakeholders including the individual investor, their tax advisor, their legal counsel, and in the case of family offices, governance committees and investment committees. Trust is built through demonstrated expertise, regulatory compliance, and consistent communication over extended periods. Performance claims cannot be made freely; they must comply with FINMA advertising regulations and MiFID II suitability requirements. The messaging landscape is highly regulated, and every creative asset must pass compliance review before it reaches the market.</w:t>
      </w:r>
    </w:p>
    <w:p>
      <w:pPr>
        <w:spacing w:after="200"/>
      </w:pPr>
      <w:r>
        <w:t xml:space="preserve">Within this context, FinEdge Capital's digital program must accomplish three primary objectives. First, it must generate marketing-qualified leads at a rate of 1,800 leads annually from digital channels, representing a 15 percent increase over 2024 performance. Second, it must nurture these leads into sales-qualified leads at a conversion rate of 25 percent, yielding approximately 450 SQLs annually that can be handed to the direct sales organization. Third, and most importantly, it must acquire EUR 42 million in assets under management from digital leads during 2025, demonstrating that digital is a genuine growth engine for the business and not merely a brand awareness play.</w:t>
      </w:r>
    </w:p>
    <w:p>
      <w:pPr>
        <w:spacing w:after="200"/>
      </w:pPr>
      <w:r>
        <w:t xml:space="preserve">The 2024 digital program established a critical baseline for this ambitious 2025 strategy. Google Search advertising, focusing on brand and generic wealth management keywords, generated an 8.1x return on advertising spend across the entire customer lifecycle, making it our highest-performing channel by return efficiency. LinkedIn Account-Based Marketing, targeting specific institutional and ultra-high-net-worth accounts, achieved a 3.4x ROAS while delivering highly qualified leads with a 28 percent conversion rate from MQL to SQL. Content Syndication underperformed at 1.9x ROAS, indicating that our thought leadership content strategy required refinement. YouTube content generation resulted in strong brand safety and engagement metrics but faced attribution challenges in the long B2B sales cycle context.</w:t>
      </w:r>
    </w:p>
    <w:p>
      <w:pPr>
        <w:spacing w:after="200"/>
      </w:pPr>
      <w:r>
        <w:t xml:space="preserve">Based on these 2024 learnings, the 2025 strategy maintains and amplifies our highest-performing channels while restructuring our content approach. We are increasing Google Search investment by 18 percent, refining keyword strategy to better capture institutional buyer intent, and implementing enhanced landing page optimization to improve conversion rates. LinkedIn is receiving a 25 percent budget increase to expand Account-Based Marketing campaigns and introduce a sponsored content strategy targeting decision-makers in pension funds, foundations, and family offices. Content Syndication is being fundamentally redesigned, with a shift away from general thought leadership toward highly specific, research-backed content assets that address the specific pain points of DACH region wealth holders.</w:t>
      </w:r>
    </w:p>
    <w:p>
      <w:pPr>
        <w:spacing w:after="200"/>
      </w:pPr>
      <w:r>
        <w:t xml:space="preserve">The agency mandate is comprehensive in scope but clear in direction. FinEdge Capital is the client, and our responsibility is to execute this digital marketing strategy with excellence, regulatory compliance, and accountability to the defined KPIs. We will manage all aspects of campaign execution, including ad copy development and compliance review, landing page optimization, lead nurturing campaign setup, performance analytics and reporting, and monthly strategic optimization based on performance data. We will work in close partnership with FinEdge's compliance and legal teams to ensure every creative asset, every landing page, and every campaign message complies with applicable FINMA and MiFID II regulations.</w:t>
      </w:r>
    </w:p>
    <w:p>
      <w:pPr>
        <w:spacing w:after="200"/>
      </w:pPr>
      <w:r>
        <w:t xml:space="preserve">This strategy document serves as the foundational brief for all 2025 digital marketing activity. It articulates the strategic vision, defines the target audiences with precision, allocates budget across channels based on demonstrated performance and strategic priority, and establishes clear KPI frameworks that will drive accountability and optimization throughout the year. Every team member, every vendor, and every partner organization involved in executing this program must understand this brief deeply and align their work to these strategic objectives.</w:t>
      </w:r>
    </w:p>
    <w:r>
      <w:br w:type="page"/>
    </w:r>
    <w:p>
      <w:pPr>
        <w:pStyle w:val="Heading1"/>
        <w:spacing w:after="200"/>
      </w:pPr>
      <w:r>
        <w:t xml:space="preserve">2. Company Overview &amp; Brand Positioning</w:t>
      </w:r>
    </w:p>
    <w:p>
      <w:pPr>
        <w:spacing w:after="200"/>
      </w:pPr>
      <w:r>
        <w:t xml:space="preserve">FinEdge Capital was established in 2009 in the immediate aftermath of the global financial crisis, a moment when trust in financial services institutions had been fundamentally shaken. The founding partners, each with deep experience in traditional Swiss banking, identified an opportunity to build a new kind of wealth management firm—one that would be built on genuine client-centricity, intellectual honesty about risk and return, and a commitment to long-term wealth preservation rather than short-term profit extraction. From these founding principles emerged a firm that has grown to manage CHF 4.2 billion in assets under management across a base of 1,200 client relationships.</w:t>
      </w:r>
    </w:p>
    <w:p>
      <w:pPr>
        <w:spacing w:after="200"/>
      </w:pPr>
      <w:r>
        <w:t xml:space="preserve">The investment philosophy that guides FinEdge Capital's work is rooted in academic research and decades of practitioner experience. We believe that long-term wealth accumulation and preservation require a disciplined approach to asset allocation, a commitment to cost-effective execution, and a willingness to maintain investment conviction during periods of market volatility. We are skeptical of active management in liquid markets, where the evidence demonstrates that the majority of active managers underperform passive alternatives after fees. Conversely, we believe that alternative assets—private equity, real assets, and infrastructure investments—offer genuine opportunities for return enhancement when accessed through high-quality, cost-effective platforms.</w:t>
      </w:r>
    </w:p>
    <w:p>
      <w:pPr>
        <w:spacing w:after="200"/>
      </w:pPr>
      <w:r>
        <w:t xml:space="preserve">Our product suite is comprehensive and serves clients at every wealth level and with every type of investment objective. The Portfolio Management product is our core offering, available in three tiers. The Select portfolio is designed for clients with CHF 500,000 to CHF 2 million in investable assets and features a professionally managed allocation across global equities, fixed income, and alternative assets with quarterly rebalancing and comprehensive tax optimization. The Premier portfolio serves high-net-worth individuals and family offices with CHF 2 million to CHF 25 million in assets, featuring a customized asset allocation strategy, access to exclusive alternative investment opportunities, and dedicated relationship management. The Elite portfolio is our offering for ultra-high-net-worth individuals and family offices with CHF 25 million and above in assets, featuring bespoke portfolio construction, direct investment opportunities in private equity and real assets partnerships, and a full suite of family office services.</w:t>
      </w:r>
    </w:p>
    <w:p>
      <w:pPr>
        <w:spacing w:after="200"/>
      </w:pPr>
      <w:r>
        <w:t xml:space="preserve">Within portfolio management, the Wealth Advisory service layer provides comprehensive financial planning. Our advisors work with clients to develop long-term wealth strategies that integrate investment management with tax optimization, estate planning coordination, charitable giving strategy, and multigenerational wealth transfer planning. This is not transactional advice offered once and forgotten; it is ongoing strategic engagement that deepens the client relationship and creates multiple points of value differentiation versus competitors.</w:t>
      </w:r>
    </w:p>
    <w:p>
      <w:pPr>
        <w:spacing w:after="200"/>
      </w:pPr>
      <w:r>
        <w:t xml:space="preserve">The Alternative Investments product has become increasingly important to our client base and our competitive positioning. We offer carefully curated access to private equity partnerships, real estate funds, and infrastructure investments that would be otherwise unavailable to individuals and smaller family offices. We conduct extensive due diligence on each opportunity, assessing manager quality, deal structure, fee arrangements, and alignment of interests. Our private equity offerings span buyout funds, growth equity funds, and fund-of-funds structures. Real assets include European commercial real estate vehicles, industrial real estate partnerships, and agricultural investment platforms. Our infrastructure exposure includes renewable energy projects, telecommunications infrastructure, and utility-scale solar and wind investments.</w:t>
      </w:r>
    </w:p>
    <w:p>
      <w:pPr>
        <w:spacing w:after="200"/>
      </w:pPr>
      <w:r>
        <w:t xml:space="preserve">The ESG Funds product reflects the increasing sophistication and seriousness with which DACH region wealth holders approach sustainable investing. Our offerings include global equities with enhanced ESG criteria, emerging markets with focus on companies demonstrating leadership in environmental sustainability and corporate governance, and fixed income vehicles that integrate ESG analysis with traditional credit evaluation. These are not marketing exercises in sustainability—they are serious investment vehicles that integrate rigorous ESG analysis into the investment process and deliver returns that are competitive with conventional alternatives.</w:t>
      </w:r>
    </w:p>
    <w:p>
      <w:pPr>
        <w:spacing w:after="200"/>
      </w:pPr>
      <w:r>
        <w:t xml:space="preserve">The Family Office Services product is our highest-value offering, available to clients with CHF 25 million and above in assets. We provide coordinated services across investment management, tax planning, governance strategy, succession planning, and philanthropic advisory. For multi-generational families, we serve as a trusted advisor through the complexities of generational wealth transfer, family governance structures, and the alignment of wealth with family values and objectives. We have developed deep expertise in working with entrepreneurial families who have recently sold businesses and are navigating the transition from operating an enterprise to managing significant liquid wealth.</w:t>
      </w:r>
    </w:p>
    <w:p>
      <w:pPr>
        <w:spacing w:after="200"/>
      </w:pPr>
      <w:r>
        <w:t xml:space="preserve">The FinEdge Capital brand is built on four core values that permeate everything we do. Trust is the foundation. In an industry where trust has been damaged repeatedly by conflicts of interest, opaque fee structures, and poor advice, we earn trust through transparency, integrity, and a genuine commitment to client interests over profit maximization. Expertise is our operational standard. Every advisor maintains active professional development, every portfolio manager adheres to documented investment processes, and every team member is expected to act with intellectual rigor in the execution of their responsibilities. Personalized service is our operational model. We are not a volume business; we grow through client satisfaction, long-term relationships, and referrals from existing clients who have experienced the value of working with FinEdge Capital. Swiss quality is our brand essence, representing precision, reliability, discipline, and attention to detail in everything we execute.</w:t>
      </w:r>
    </w:p>
    <w:p>
      <w:pPr>
        <w:spacing w:after="200"/>
      </w:pPr>
      <w:r>
        <w:t xml:space="preserve">Our competitive positioning in the DACH region wealth management landscape is distinctive. Against legacy banks like UBS and the Credit Suisse legacy within UBS, we offer superior intellectual honesty about fees, performance, and risk. We are smaller and more agile than these institutions, allowing us to move quickly in capital markets and adapt to client needs without navigating bureaucratic decision-making structures. Against fintech competitors like Scalable Capital and Selma, we offer the full range of investment services that affluent clients demand, including alternative assets access, tax optimization, and family office services that are simply not available through robo-advisory platforms. Against other independent wealth managers, we differentiate through our depth of alternative investment expertise, our rigorous investment process discipline, and our commitment to technology-enabled service delivery without sacrificing personal relationships.</w:t>
      </w:r>
    </w:p>
    <w:p>
      <w:pPr>
        <w:spacing w:after="200"/>
      </w:pPr>
      <w:r>
        <w:t xml:space="preserve">FinEdge Capital's organizational structure reflects this positioning. The Investment Management Team, led by Chief Investment Officer Dr. Marcus Baumann, consists of 12 investment professionals who manage the portfolio construction process, conduct due diligence on alternative investments, and maintain investment discipline during periods of market volatility. The Client Service Organization, led by Chief Client Officer Julia Schmid, consists of 18 relationship managers across three regional offices in Zurich, Frankfurt, and Vienna, supported by portfolio analysts and operations professionals. The Product Development Team, led by Head of Products Thomas Krämer, continuously evaluates new alternative investment opportunities, develops new service offerings, and manages relationships with asset managers and third-party service providers. The Marketing and Business Development function, which is the client for this digital marketing program, is led by Director of Business Development Helena Mueller and reports through the CEO to the board of directors.</w:t>
      </w:r>
    </w:p>
    <w:p>
      <w:pPr>
        <w:spacing w:after="200"/>
      </w:pPr>
      <w:r>
        <w:t xml:space="preserve">From a financial perspective, FinEdge Capital has demonstrated consistent growth over the past five years. Asset under management have grown at a compound annual growth rate of 8.2 percent, driven by a combination of market appreciation, client organic growth, and new client acquisition. Revenue has grown faster than assets under management, reflecting positive evolution in the fee-per-asset metric as the firm has attracted larger accounts and expanded into higher-value service offerings. The firm is profitable, reinvests a portion of profits into capability development and technology infrastructure, and maintains the balance sheet strength necessary to weather market downturns and maintain client service quality during periods of market stress.</w:t>
      </w:r>
    </w:p>
    <w:p>
      <w:pPr>
        <w:spacing w:after="200"/>
      </w:pPr>
      <w:r>
        <w:t xml:space="preserve">The FinEdge Capital brand is recognized in the DACH region as a serious, sophisticated wealth manager that serves affluent individuals and institutional clients. We have won multiple industry awards for investment performance, client service quality, and innovation in alternative assets access. Our advisors are frequently quoted in financial media, our thought leadership content is regularly featured in professional publications, and our firm is recognized as a leader in ESG investment approaches. This brand reputation is an asset that must be leveraged, protected, and continuously reinforced through our digital marketing program.</w:t>
      </w:r>
    </w:p>
    <w:r>
      <w:br w:type="page"/>
    </w:r>
    <w:p>
      <w:pPr>
        <w:pStyle w:val="Heading1"/>
        <w:spacing w:after="200"/>
      </w:pPr>
      <w:r>
        <w:t xml:space="preserve">3. Regulatory &amp; Compliance Context</w:t>
      </w:r>
    </w:p>
    <w:p>
      <w:pPr>
        <w:spacing w:after="200"/>
      </w:pPr>
      <w:r>
        <w:t xml:space="preserve">The regulatory environment within which FinEdge Capital operates is complex, highly specialized, and non-negotiable. Failure to comply with applicable regulations is not merely a business risk; it is an existential threat to the organization. For this reason, every digital marketing activity must be designed with full awareness of the regulatory constraints and must be executed in compliance with all applicable rules, regulations, and guidance from the Swiss Financial Market Supervisory Authority (FINMA), the Swiss Financial Services Act, and the Markets in Financial Instruments Directive (MiFID II) which applies to FinEdge's activities with EU-based clients.</w:t>
      </w:r>
    </w:p>
    <w:p>
      <w:pPr>
        <w:spacing w:after="200"/>
      </w:pPr>
      <w:r>
        <w:t xml:space="preserve">FINMA Regulation 18 governs financial advertising in Switzerland and establishes strict requirements for how financial services firms may communicate their products and services to potential clients. The regulation prohibits misleading advertising, requires that all advertising be consistent with the actual terms of service delivery, and establishes specific requirements for advertising of investment fund products. Any performance claims in advertising must be based on audited historical data and must be accompanied by appropriate risk disclaimers. The regulation prohibits advertising that targets retail clients with highly risky investment products without explicit acknowledgment of the risks involved.</w:t>
      </w:r>
    </w:p>
    <w:p>
      <w:pPr>
        <w:spacing w:after="200"/>
      </w:pPr>
      <w:r>
        <w:t xml:space="preserve">The advertising approval process at FinEdge Capital requires that all marketing communications undergo compliance review before being distributed. The Compliance Officer, Elena Rossi, maintains responsibility for this approval process and works closely with the Marketing and Business Development team to ensure that all digital marketing campaigns, landing pages, email communications, and content assets comply with applicable regulations. This approval process must not be viewed as an obstacle to marketing effectiveness; rather, it is an essential control that protects the firm's license to operate.</w:t>
      </w:r>
    </w:p>
    <w:p>
      <w:pPr>
        <w:spacing w:after="200"/>
      </w:pPr>
      <w:r>
        <w:t xml:space="preserve">Performance claims and performance advertising require particular caution. FINMA does not prohibit advertising of historical performance data, but such advertising is subject to strict requirements. The performance data must be gross-of-fees and net-of-fees, presented over periods of at least one year, and accompanied by disclaimers that past performance is not a guarantee of future results. When comparing FinEdge's performance to benchmarks or competitors, the comparison must be methodologically rigorous, statistically valid, and accompanied by appropriate caveats about the limitations of the comparison. For this reason, performance-based advertising is used selectively in our program, typically only when the performance differential is substantial and the supporting documentation is comprehensive.</w:t>
      </w:r>
    </w:p>
    <w:p>
      <w:pPr>
        <w:spacing w:after="200"/>
      </w:pPr>
      <w:r>
        <w:t xml:space="preserve">MiFID II compliance adds additional requirements for clients within the EU. MiFID II requires that investment firms understand the investment knowledge and experience of their clients, understand their financial situation including their ability to bear losses, and recommend investment products that are suitable for the client given this understanding. For digital marketing purposes, this means that we cannot recommend specific investment products through digital channels without first establishing the client's investment profile. Our digital marketing can communicate the existence of our products, explain their characteristics and investment approach, but cannot deliver a recommendation without the context of full suitability assessment.</w:t>
      </w:r>
    </w:p>
    <w:p>
      <w:pPr>
        <w:spacing w:after="200"/>
      </w:pPr>
      <w:r>
        <w:t xml:space="preserve">Required disclaimers must be included in all marketing communications regarding investment products. These disclaimers must be clear, conspicuous, and not subordinated to other content. A standard disclaimer reads as follows: "This information is provided for informational purposes only and does not constitute a recommendation, offer, or solicitation to buy or sell any investment product. Past performance is not a guarantee of future results. Investment returns and principal value will fluctuate, and an investment, when redeemed, may be worth more or less than its original cost. All investments are subject to risk. Investors should consult with a qualified financial advisor before making investment decisions. This information does not constitute tax or legal advice."</w:t>
      </w:r>
    </w:p>
    <w:p>
      <w:pPr>
        <w:spacing w:after="200"/>
      </w:pPr>
      <w:r>
        <w:t xml:space="preserve">Approved messaging guardrails have been developed in collaboration with FinEdge's Compliance and Legal teams and govern all content creation for digital marketing. These guardrails address the following:</w:t>
      </w:r>
    </w:p>
    <w:p>
      <w:pPr>
        <w:spacing w:after="200"/>
      </w:pPr>
      <w:r>
        <w:t xml:space="preserve">Performance claims may be made only with respect to specific funds or portfolios where audited performance data exists, must include both gross and net-of-fee performance, must include appropriate risk disclaimers, must cover at least the previous one-year period, and must be accompanied by a statement that past performance is not guarantee of future results. Return projections or estimates are prohibited. Statements that a portfolio or strategy will "outperform" the market are prohibited unless accompanied by comprehensive caveats. References to ranking or awards are permitted only where the award is from a recognized independent third party and proper documentation is available.</w:t>
      </w:r>
    </w:p>
    <w:p>
      <w:pPr>
        <w:spacing w:after="200"/>
      </w:pPr>
      <w:r>
        <w:t xml:space="preserve">Expertise claims may be made regarding professional qualifications, industry experience, and demonstrated track record. Testimonials from clients or third parties are permitted provided they are genuine and not selected to be unrepresentative. References to regulatory approvals, such as FINMA authorization, are encouraged as they enhance credibility.</w:t>
      </w:r>
    </w:p>
    <w:p>
      <w:pPr>
        <w:spacing w:after="200"/>
      </w:pPr>
      <w:r>
        <w:t xml:space="preserve">Risk communication must be clear and balanced. Marketing communications must not minimize risks or suggest that risks are insignificant. When communicating about alternative assets, for example, we must acknowledge the reduced liquidity, higher costs, and concentration risks associated with these vehicles. When communicating about emerging market exposure, we must acknowledge the currency, political, and market structure risks inherent in these markets.</w:t>
      </w:r>
    </w:p>
    <w:p>
      <w:pPr>
        <w:spacing w:after="200"/>
      </w:pPr>
      <w:r>
        <w:t xml:space="preserve">Comparative advertising is permitted but must meet strict standards. Any comparison to competitors must be factually accurate, must be based on comparable products or strategies, and must not be selected in a manner that is unrepresentative. Market share claims, customer satisfaction claims, and process claims must be substantiated. For example, if a digital advertisement claims that FinEdge has "outperformed 80 percent of competitors," this claim must be supported by rigorous third-party performance data covering the same time period and investment universe.</w:t>
      </w:r>
    </w:p>
    <w:p>
      <w:pPr>
        <w:spacing w:after="200"/>
      </w:pPr>
      <w:r>
        <w:t xml:space="preserve">The messaging hierarchy guides content prioritization in digital marketing communications. At the top level, we communicate the core value proposition: FinEdge Capital provides intellectually rigorous, cost-effective wealth management solutions that integrate traditional and alternative assets, are tailored to individual client circumstances, and are delivered through a commitment to client service excellence and regulatory compliance. At the second level, we communicate the specific product benefits: Portfolio Management offering customized asset allocation strategies, Wealth Advisory providing comprehensive financial planning, Alternative Investments providing access to otherwise-unavailable opportunities, ESG Funds integrating sustainability with return objectives, and Family Office Services addressing the specific needs of ultra-high-net-worth families. At the third level, we communicate specific functional benefits: tax optimization, reduced costs through low-fee investment vehicles, superior investment process, experienced team, and commitment to client service.</w:t>
      </w:r>
    </w:p>
    <w:p>
      <w:pPr>
        <w:spacing w:after="200"/>
      </w:pPr>
      <w:r>
        <w:t xml:space="preserve">What cannot be advertised, and why, reflects the regulatory constraints. We cannot make guarantees about returns or risk management outcomes. We cannot claim that our advisory services will prevent financial losses. We cannot make claims about superior performance without rigorous supporting data. We cannot target retail clients with alternatives investments without explicit acknowledgment of the risks and suitability limitations. We cannot make tax or legal advice claims; we must position wealth advisory as coordinating with clients' tax and legal advisors. We cannot engage in comparative advertising that is deceptive or misleading. We cannot make claims about regulatory treatment of our services that misrepresent the actual regulatory framework. We cannot use language that suggests clients will receive special treatment or regulatory exemptions.</w:t>
      </w:r>
    </w:p>
    <w:p>
      <w:pPr>
        <w:spacing w:after="200"/>
      </w:pPr>
      <w:r>
        <w:t xml:space="preserve">The advertising approval workflow begins when the Marketing team creates a marketing asset—a landing page, an advertisement, a piece of content, or a promotional communication. The asset is submitted to the Compliance Officer for review. The Compliance Officer assesses the asset against the approved messaging guardrails, identifies any potential regulatory concerns, and either approves the asset or requests modifications. The approval timeline is typically 5 business days for routine content and up to 15 business days for complex or novel content. Once approved, the asset is delivered for distribution. Changes to approved assets require resubmission for approval; minor modifications may be approved quickly, but material changes require a full review cycle.</w:t>
      </w:r>
    </w:p>
    <w:p>
      <w:pPr>
        <w:spacing w:after="200"/>
      </w:pPr>
      <w:r>
        <w:t xml:space="preserve">FINMA notification requirements apply when FinEdge develops new marketing campaigns or product advertising. For campaigns that introduce new products, incorporate new messaging approaches, or represent significant changes in marketing strategy, we are required to notify FINMA and provide copies of our marketing materials. This is not a pre-approval requirement, but a notification requirement; FINMA may request additional information or raise concerns, but campaigns may generally proceed while FINMA's assessment is occurring.</w:t>
      </w:r>
    </w:p>
    <w:p>
      <w:pPr>
        <w:spacing w:after="200"/>
      </w:pPr>
      <w:r>
        <w:t xml:space="preserve">Approved messaging guidelines for each product have been developed and are maintained by the Compliance team. These guidelines govern the specific language that can be used when advertising Portfolio Management, Wealth Advisory, Alternative Investments, ESG Funds, and Family Office Services. Advisors and marketing professionals must be trained on these guidelines and must use approved language when communicating about our products.</w:t>
      </w:r>
    </w:p>
    <w:r>
      <w:br w:type="page"/>
    </w:r>
    <w:p>
      <w:pPr>
        <w:pStyle w:val="Heading1"/>
        <w:spacing w:after="200"/>
      </w:pPr>
      <w:r>
        <w:t xml:space="preserve">4. 2024 Digital Marketing Review</w:t>
      </w:r>
    </w:p>
    <w:p>
      <w:pPr>
        <w:spacing w:after="200"/>
      </w:pPr>
      <w:r>
        <w:t xml:space="preserve">The 2024 digital marketing program served as an operational proof of concept for FinEdge Capital's digital acquisition strategy. While the firm had conducted limited digital marketing before 2024, the scale and sophistication of the 2024 program was substantially greater. The program invested EUR 987,000 across six primary channels: Google Search, LinkedIn, YouTube, Content Syndication, Display Advertising, and Webinar Marketing. The program generated 1,568 marketing-qualified leads, representing the first large-scale test of lead generation effectiveness in the digital channel. From these leads, the sales organization converted 392 to sales-qualified opportunities, of which 87 have closed to date, representing EUR 28 million in acquired assets under management.</w:t>
      </w:r>
    </w:p>
    <w:p>
      <w:pPr>
        <w:spacing w:after="200"/>
      </w:pPr>
      <w:r>
        <w:t xml:space="preserve">Google Search advertising was the dominant performer in the 2024 program and represents the strongest evidence that digital marketing can drive acquisition for wealth management services. The Google Search program invested EUR 267,000 across brand search campaigns, generic wealth management keyword campaigns, and competitor keyword campaigns. The program generated 412 clicks through from search results to landing pages, with a landing page conversion rate of 18 percent, yielding 74 marketing-qualified leads. The cost per marketing-qualified lead was EUR 3,608. Of these 74 leads, 21 were converted to sales-qualified opportunities by the sales team, representing a 28 percent MQL-to-SQL conversion rate. Of these SQLs, 6 closed to become active clients, representing a 29 percent SQL-to-customer conversion rate and an overall digital-to-customer conversion of 8.1 percent. The lifetime value of these acquired clients was estimated at EUR 2.16 million based on average assets under management of CHF 360,000 and expected relationship duration of 15 years. The return on advertising spend, calculated as lifetime value divided by acquisition cost, was 8.1x, making Google Search our most efficient channel by return metrics.</w:t>
      </w:r>
    </w:p>
    <w:p>
      <w:pPr>
        <w:spacing w:after="200"/>
      </w:pPr>
      <w:r>
        <w:t xml:space="preserve">Within the Google Search program, brand search campaigns—campaigns targeting users searching for "FinEdge Capital," "FinEdge," "FinEdge wealth," and similar brand-specific terms—generated 18 marketing-qualified leads at a cost per lead of EUR 1,204. The conversion rate from click to lead was 22 percent. These users were already aware of FinEdge Capital and were using search as a means to navigate to our website or gather information. The high conversion rate reflects strong interest in our brand and suggests that our website's messaging and user experience are resonating with users in the consideration phase of the buying process. The relatively low cost per lead is driven by the low cost per click on brand terms, as we face limited competitive bidding on our own brand terms. Brand search is an efficient channel and should be maintained as a baseline program.</w:t>
      </w:r>
    </w:p>
    <w:p>
      <w:pPr>
        <w:spacing w:after="200"/>
      </w:pPr>
      <w:r>
        <w:t xml:space="preserve">Generic wealth management keyword campaigns—campaigns targeting users searching for "wealth management Switzerland," "private wealth advisor," "ESG investment funds," and related non-branded terms—generated 38 marketing-qualified leads at a cost per lead of EUR 5,842. The conversion rate from click to lead was 14 percent. These users were not specifically aware of FinEdge Capital but were actively searching for the types of services we offer. The higher cost per click reflects competitive bidding on these high-value keywords. The lower conversion rate, relative to brand campaigns, reflects the greater diversity of landing page contexts—some users may have been searching for generic information rather than actively seeking a service provider. Nevertheless, the return on advertising spend for generic keyword campaigns was 6.2x, indicating solid channel efficiency.</w:t>
      </w:r>
    </w:p>
    <w:p>
      <w:pPr>
        <w:spacing w:after="200"/>
      </w:pPr>
      <w:r>
        <w:t xml:space="preserve">Competitor keyword campaigns—campaigns targeting users searching for "UBS wealth advisor," "CS family office," "Scalable Capital alternatives," and competitor-specific terms—generated 18 marketing-qualified leads at a cost per lead of EUR 7,206. The conversion rate from click to lead was 11 percent. These users were actively engaged with competitor research and represented high-intent opportunities. However, the cost per click on competitor keywords is substantially higher due to competitive bidding, and the conversion rate is lower, possibly because we are intercepting users who are already in the later stages of evaluation with competitors. Competitor keyword campaigns delivered solid returns at 5.8x ROAS, but the efficiency is lower than brand or generic campaigns.</w:t>
      </w:r>
    </w:p>
    <w:p>
      <w:pPr>
        <w:spacing w:after="200"/>
      </w:pPr>
      <w:r>
        <w:t xml:space="preserve">LinkedIn Account-Based Marketing campaigns targeted specific institutional accounts and high-net-worth individual prospects with personalized advertising. The program invested EUR 187,000 and focused on three audience segments: pension fund decision-makers in Switzerland, Austria, and Germany; foundation chief investment officers; and ultra-high-net-worth individuals with documented net worth above CHF 10 million. The program generated 104 marketing-qualified leads, representing a cost per lead of EUR 1,798, substantially lower than Google generic keywords. The conversion rate from click to lead was 31 percent, significantly higher than any other channel. Of these leads, 29 were converted to sales-qualified opportunities by the sales team, representing a 28 percent MQL-to-SQL conversion rate. Of these SQLs, 8 closed to become active clients. The lifetime value of these acquired clients was EUR 1.28 million. The return on advertising spend was 3.4x, the second-highest of any channel.</w:t>
      </w:r>
    </w:p>
    <w:p>
      <w:pPr>
        <w:spacing w:after="200"/>
      </w:pPr>
      <w:r>
        <w:t xml:space="preserve">The superior performance of LinkedIn ABM campaigns reflects the strategic fit of LinkedIn for reaching institutional and high-net-worth audiences, the power of account-specific targeting and personalized messaging, and the premium quality of leads generated. While the ROAS of 3.4x is lower than Google Search at 8.1x, this reflects the different value of different customer cohorts. The institutional and ultra-high-net-worth customers acquired through LinkedIn ABM likely have higher lifetime values than some of the Google search-acquired customers, and the higher conversion rates throughout the funnel reflect the stronger initial fit of the audience.</w:t>
      </w:r>
    </w:p>
    <w:p>
      <w:pPr>
        <w:spacing w:after="200"/>
      </w:pPr>
      <w:r>
        <w:t xml:space="preserve">YouTube content generated 287 views over 12 videos, with an average view completion rate of 67 percent. The program produced content addressing topics such as "Understanding Alternative Investments," "ESG Investing for Families," and "Wealth Transfer Planning for Entrepreneurs." Direct lead generation from YouTube was limited—only 8 leads attributed directly to YouTube video completion—but the channel delivered strong brand impression value and contributed to brand awareness among the target audience. The cost per lead from YouTube was EUR 23,375, making it an inefficient direct lead generation channel. However, when evaluated as a brand awareness and audience education channel, the efficiency was more compelling. The 12 videos have generated 1,240 estimated views post-campaign across organic YouTube search and embedded video content on the FinEdge website, suggesting that the video content continues to generate value long after initial publication.</w:t>
      </w:r>
    </w:p>
    <w:p>
      <w:pPr>
        <w:spacing w:after="200"/>
      </w:pPr>
      <w:r>
        <w:t xml:space="preserve">Content Syndication delivered disappointing performance results in 2024. The program invested EUR 146,000 in syndication of white papers and research reports across professional content networks, financial research platforms, and industry publications. The program generated 127 marketing-qualified leads at a cost per lead of EUR 1,150. However, the MQL-to-SQL conversion rate was only 8 percent, compared to 28 percent for LinkedIn and 28 percent for Google Search. Only 1 lead from Content Syndication has closed to become a customer. The return on advertising spend was 1.9x, substantially below the efficiency of other channels. Analysis of the underperformance suggests that the content strategy was too generic and insufficiently tailored to the specific pain points of high-net-worth wealth holders. The content topics—"2024 Wealth Outlook" and "Diversification Strategies in Low-Rate Environments"—addressed general wealth management themes but did not position FinEdge Capital as uniquely expert. The syndication approach may also have been suboptimal, distributing content too broadly rather than targeting specific high-value audience segments.</w:t>
      </w:r>
    </w:p>
    <w:p>
      <w:pPr>
        <w:spacing w:after="200"/>
      </w:pPr>
      <w:r>
        <w:t xml:space="preserve">Display and Native advertising campaigns targeted users across the open web and premium publisher networks with display-format advertisements. The program invested EUR 127,000 and generated 108 marketing-qualified leads at a cost per lead of EUR 1,176. The conversion rate from click to lead was 8 percent. The MQL-to-SQL conversion rate was 19 percent, representing 21 SQLs. Only 3 of these SQLs have closed to become active customers. The return on advertising spend was 3.1x. Display advertising performed at the level of the portfolio, suggesting that awareness-building and impression-based advertising has a role in the overall channel mix but is not the most efficient direct lead generation channel.</w:t>
      </w:r>
    </w:p>
    <w:p>
      <w:pPr>
        <w:spacing w:after="200"/>
      </w:pPr>
      <w:r>
        <w:t xml:space="preserve">Webinar Marketing invited prospective clients to attend educational webinars on topics such as "Tax Optimization Strategies for Entrepreneurs," "Alternative Assets for Family Offices," and "ESG Investing in Practice." The program invested EUR 73,000, hosted 4 webinars with average attendance of 74 participants, and generated 142 marketing-qualified leads. The cost per lead was EUR 514, the lowest of any channel. The conversion rate from webinar attendance to lead was 48 percent, substantially higher than any other channel. However, the MQL-to-SQL conversion rate was 16 percent, the lowest of any channel, and only 2 webinar leads have closed to become active customers. The return on advertising spend was 2.8x. Webinar marketing demonstrates strong engagement and lead quality at the initial stage, but lower conversion through the sales process, suggesting that webinar attendees may be at an earlier stage of the buying process than search or ABM audiences.</w:t>
      </w:r>
    </w:p>
    <w:p>
      <w:pPr>
        <w:spacing w:after="200"/>
      </w:pPr>
      <w:r>
        <w:t xml:space="preserve">The overall 2024 program generated 1,568 marketing-qualified leads at a blended cost per lead of EUR 630, achieved a blended MQL-to-SQL conversion rate of 25 percent, generated 392 sales-qualified leads, achieved a blended SQL-to-customer conversion rate of 22 percent, acquired 87 new customers through digital channels, achieved EUR 28 million in acquired assets under management, and achieved a blended return on advertising spend of 4.6x across all channels. These results, while positive and encouraging, also reveal significant room for optimization and channel expansion.</w:t>
      </w:r>
    </w:p>
    <w:p>
      <w:pPr>
        <w:spacing w:after="200"/>
      </w:pPr>
      <w:r>
        <w:t xml:space="preserve">Key learnings from 2024 inform the 2025 strategy. Google Search delivers superior returns for direct lead generation and should be the foundation of the digital program. LinkedIn ABM reaches the highest-value prospect segments and delivers superior-quality leads, despite lower volume. Both channels should receive increased investment in 2025. Content Syndication underperformed due to insufficiently differentiated content strategy and should be restructured or reallocated. Display and Native advertising delivers acceptable returns and serves a role in the overall channel mix but should not be expanded without strategic rationale. Webinar Marketing generates high-engagement leads at low cost but suffers from lower sales conversion, suggesting that webinar attendees require more intensive nurturing. YouTube provides brand value and thought leadership positioning but should be evaluated differently than direct-response channels.</w:t>
      </w:r>
    </w:p>
    <w:r>
      <w:br w:type="page"/>
    </w:r>
    <w:p>
      <w:pPr>
        <w:pStyle w:val="Heading1"/>
        <w:spacing w:after="200"/>
      </w:pPr>
      <w:r>
        <w:t xml:space="preserve">5. 2025 Target Audience Profiles</w:t>
      </w:r>
    </w:p>
    <w:p>
      <w:pPr>
        <w:spacing w:after="200"/>
      </w:pPr>
      <w:r>
        <w:t xml:space="preserve">The target audience for FinEdge Capital's 2025 digital marketing program consists of four distinct persona groups, each with different characteristics, decision-making processes, channels preferences, and value propositions.</w:t>
      </w:r>
    </w:p>
    <w:p>
      <w:pPr>
        <w:spacing w:after="200"/>
      </w:pPr>
      <w:r>
        <w:t xml:space="preserve">The first persona is Andreas Meier, a 52-year-old entrepreneur from Frankfurt who founded and recently sold a mechanical components manufacturing business. The sale valued the business at EUR 18 million, of which Andreas personally realized EUR 8 million in proceeds. His spouse also has significant independent wealth from a family inheritance, bringing the household liquid assets to approximately EUR 11 million. However, much of this wealth is held in bank savings accounts and low-yielding government bonds—a conservative allocation chosen by default rather than sophisticated planning. Andreas has spent the past 25 years building and growing his operating business and has limited time and expertise to manage his accumulated wealth actively.</w:t>
      </w:r>
    </w:p>
    <w:p>
      <w:pPr>
        <w:spacing w:after="200"/>
      </w:pPr>
      <w:r>
        <w:t xml:space="preserve">Andreas's primary financial objective is to transition from business owner to wealth holder while preserving and modestly growing the capital. He is concerned about inflation risk and the declining real value of his savings accounts. He is interested in investment options that offer return potential above inflation but is uncomfortable with equity market volatility given his unfamiliarity with securities markets. He is skeptical of the major Swiss and German banks, which he views as pushing expensive products and prioritizing banks' revenues over client outcomes. He values personal relationships with advisors but also respects intellectual competence and processes; he wants to understand the reasoning behind investment recommendations.</w:t>
      </w:r>
    </w:p>
    <w:p>
      <w:pPr>
        <w:spacing w:after="200"/>
      </w:pPr>
      <w:r>
        <w:t xml:space="preserve">Andreas's household also includes his spouse, who influences major financial decisions, and his tax advisor, who will need to review any new investment arrangements. His adult children, who expect to eventually inherit significant assets, are beginning to ask questions about wealth transfer planning and whether the family should consider philanthropic objectives. This creates a multi-stakeholder decision process that will unfold over months.</w:t>
      </w:r>
    </w:p>
    <w:p>
      <w:pPr>
        <w:spacing w:after="200"/>
      </w:pPr>
      <w:r>
        <w:t xml:space="preserve">Andreas's channel preferences reflect his digital literacy and professional habits. He conducts his own research online, reading financial news and asset management websites. He is active on LinkedIn, connecting with business peers and consuming thought leadership content from financial services providers. He is unlikely to respond to generic display advertising or unsolicited outreach, but he will notice relevant search results when he is actively researching wealth management options. He prefers interactions with human advisors but wants to conduct preliminary research online before committing to a meeting.</w:t>
      </w:r>
    </w:p>
    <w:p>
      <w:pPr>
        <w:spacing w:after="200"/>
      </w:pPr>
      <w:r>
        <w:t xml:space="preserve">The second persona is Sophie Laurent, a 45-year-old family office beneficiary living in Geneva. Sophie's father founded and sold a luxury goods company 30 years ago, and Sophie is now one of three primary beneficiaries of a family trust with EUR 220 million in assets. Sophie manages her personal allocation of approximately EUR 35 million, which she controls through board representation on the family office. Unlike Andreas, Sophie has a sophisticated understanding of investment options and explicitly wants to manage her wealth with consideration of sustainability and social impact goals.</w:t>
      </w:r>
    </w:p>
    <w:p>
      <w:pPr>
        <w:spacing w:after="200"/>
      </w:pPr>
      <w:r>
        <w:t xml:space="preserve">Sophie is skeptical of traditional Swiss banking institutions, which she views as having historically served corporate wealth over family wealth and as being slow to adapt to emerging investment frameworks. She is interested in alternative assets, particularly those with environmental or social impact components. She is frustrated by the perceived contradiction between financial return objectives and sustainability objectives; she believes these can and should be integrated, not optimized separately. She wants advisors who understand alternative assets, understand family governance structures, and can speak credibly about sustainable investing.</w:t>
      </w:r>
    </w:p>
    <w:p>
      <w:pPr>
        <w:spacing w:after="200"/>
      </w:pPr>
      <w:r>
        <w:t xml:space="preserve">Sophie's decision-making process includes multiple stakeholders: her family office governance committee, her co-trustee, and potentially external advisors who consult to the family office. She conducts extensive research before making major decisions and is influenced by recommendations from peer networks of other family office leaders and ultra-high-net-worth individuals. Her time horizon for decision-making is measured in months, as governance processes move more slowly than individual decisions.</w:t>
      </w:r>
    </w:p>
    <w:p>
      <w:pPr>
        <w:spacing w:after="200"/>
      </w:pPr>
      <w:r>
        <w:t xml:space="preserve">Sophie's channel preferences include professional networks, private wealth conferences and forums, and thought leadership content from recognized experts in alternative assets and sustainable investing. She is unlikely to respond to mass-market advertising but will notice relevant content if it is distributed through her professional networks or recommended by trusted advisors. She prefers to conduct detailed research and due diligence before engaging with potential advisors.</w:t>
      </w:r>
    </w:p>
    <w:p>
      <w:pPr>
        <w:spacing w:after="200"/>
      </w:pPr>
      <w:r>
        <w:t xml:space="preserve">The third persona is an Institutional Buyer—specifically, a pension fund CIO or investment committee member at a Swiss or German pension fund. This persona, for modeling purposes, is named Hans Mueller, age 48, with 20 years of experience in institutional investing. Hans manages a EUR 50 million allocation for alternative assets within a pension fund of approximately EUR 850 million in total assets under management. His primary objective is to achieve target return objectives for alternative assets while managing downside risk, maintaining diversification, and remaining compliant with pension fund governance requirements.</w:t>
      </w:r>
    </w:p>
    <w:p>
      <w:pPr>
        <w:spacing w:after="200"/>
      </w:pPr>
      <w:r>
        <w:t xml:space="preserve">Hans is actively evaluating external managers for specific alternative asset mandates: private equity buyout exposure, real assets infrastructure exposure, and emerging markets exposure. The decision-making process is formal and extensive, involving manager due diligence, comparison with alternative managers, committee review and approval, and implementation. Hans is particularly focused on manager quality, fee structure, reference checks with other institutional investors, and regulatory compliance. He is skeptical of managers who do not demonstrate deep expertise and meaningful institutional relationships.</w:t>
      </w:r>
    </w:p>
    <w:p>
      <w:pPr>
        <w:spacing w:after="200"/>
      </w:pPr>
      <w:r>
        <w:t xml:space="preserve">Hans's information gathering process is highly structured. He reviews materials sent by managers, conducts detailed due diligence meetings, and checks references with other institutional clients. He reads industry publications and receives recommendations from peer networks. He does not respond to mass-market advertising but will evaluate inbound inquiries from managers who identify relevant mandates and demonstrate institutional relationships.</w:t>
      </w:r>
    </w:p>
    <w:p>
      <w:pPr>
        <w:spacing w:after="200"/>
      </w:pPr>
      <w:r>
        <w:t xml:space="preserve">The fourth persona is Felix Braun, a 38-year-old technology executive living in Vienna. Felix was an early employee at an Austrian software company that was acquired by a German multinational, and he received approximately EUR 2.8 million in acquisition proceeds. He also earns a substantial annual salary of EUR 450,000 and has accumulated additional liquid savings of approximately EUR 600,000. Unlike Andreas, Felix is digitally sophisticated and confident in his ability to manage investments; unlike Sophie, he lacks the capital for family office services; and unlike Hans, he is an individual investor rather than an institutional decision-maker.</w:t>
      </w:r>
    </w:p>
    <w:p>
      <w:pPr>
        <w:spacing w:after="200"/>
      </w:pPr>
      <w:r>
        <w:t xml:space="preserve">Felix's primary objective is to build and preserve wealth while maintaining the flexibility to pursue opportunities related to technology ventures and startup investments. He is interested in maintaining diversified, liquid investments in traditional assets but also wants the opportunity to allocate a portion of his capital to early-stage technology companies and private equity partnerships. He wants his investment advisor to understand both traditional wealth management and alternative assets, but he also wants to maintain a degree of self-directed management and control.</w:t>
      </w:r>
    </w:p>
    <w:p>
      <w:pPr>
        <w:spacing w:after="200"/>
      </w:pPr>
      <w:r>
        <w:t xml:space="preserve">Felix is digitally native and conducts substantial research online before engaging with advisors. He is active on LinkedIn, follows technology industry news, and consumes financial education content from various sources. He is likely to start his wealth advisor search by conducting Google searches for wealth management providers in Austria or Germany. He values advisors who understand technology, are responsive to communication via digital channels, and can explain their reasoning clearly. He is willing to engage initially through digital channels before committing to in-person meetings.</w:t>
      </w:r>
    </w:p>
    <w:p>
      <w:pPr>
        <w:spacing w:after="200"/>
      </w:pPr>
      <w:r>
        <w:t xml:space="preserve">Each of these personas brings different needs, different decision-making processes, different information sources, and different value propositions. The 2025 digital marketing program must address each persona with appropriate messaging, appropriate channels, and appropriate content.</w:t>
      </w:r>
    </w:p>
    <w:p>
      <w:pPr>
        <w:spacing w:after="200"/>
      </w:pPr>
      <w:r>
        <w:t xml:space="preserve">For Andreas Meier, the value proposition emphasizes intellectual rigor in investment decisions, transparency about fees, and capability in the wealth transition phase. The channels are Google Search, LinkedIn organic content, and educational webinars. The messaging focuses on preserving capital, modest growth, and family wealth planning.</w:t>
      </w:r>
    </w:p>
    <w:p>
      <w:pPr>
        <w:spacing w:after="200"/>
      </w:pPr>
      <w:r>
        <w:t xml:space="preserve">For Sophie Laurent, the value proposition emphasizes sophisticated alternative asset expertise, credible sustainable investing, and family office service capability. The channels are LinkedIn ABM, private wealth conference sponsorships, and thought leadership content distributed through professional networks. The messaging focuses on integrating financial and impact objectives, accessing alternative assets, and family governance.</w:t>
      </w:r>
    </w:p>
    <w:p>
      <w:pPr>
        <w:spacing w:after="200"/>
      </w:pPr>
      <w:r>
        <w:t xml:space="preserve">For institutional buyers like Hans Mueller, the value proposition emphasizes institutional relationships, manager quality, fee transparency, and regulatory compliance. The channels are direct outreach, manager conferences, peer reference networks, and institutional media. The messaging focuses on manager expertise, institutional relationships, and track record.</w:t>
      </w:r>
    </w:p>
    <w:p>
      <w:pPr>
        <w:spacing w:after="200"/>
      </w:pPr>
      <w:r>
        <w:t xml:space="preserve">For Felix Braun, the value proposition emphasizes digital-first service delivery, technology expertise, wealth management plus alternative asset exposure, and flexibility. The channels are Google Search, LinkedIn, educational content, and responsive digital communication. The messaging focuses on growing wealth, accessing alternative assets, and digital-first advisory.</w:t>
      </w:r>
    </w:p>
    <w:r>
      <w:br w:type="page"/>
    </w:r>
    <w:p>
      <w:pPr>
        <w:pStyle w:val="Heading1"/>
        <w:spacing w:after="200"/>
      </w:pPr>
      <w:r>
        <w:t xml:space="preserve">6. Channel Strategy &amp; Annual Budget Allocation</w:t>
      </w:r>
    </w:p>
    <w:p>
      <w:pPr>
        <w:spacing w:after="200"/>
      </w:pPr>
      <w:r>
        <w:t xml:space="preserve">The 2025 annual budget of EUR 1,120,000 is allocated across six primary channels based on a combination of demonstrated 2024 performance, strategic priority, growth opportunities, and market conditions. The allocation reflects the principle that budget should flow to highest-performing channels while maintaining adequate resources for testing and optimization. However, allocation decisions also consider strategic objectives such as expanding reach into new audience segments and testing new platforms. The budget allocation is organized by calendar quarter, recognizing that marketing effectiveness varies seasonally and that certain campaigns are optimized for specific times of year.</w:t>
      </w:r>
    </w:p>
    <w:p>
      <w:pPr>
        <w:spacing w:after="200"/>
      </w:pPr>
      <w:r>
        <w:t xml:space="preserve">Google Search receives EUR 315,000, representing 28 percent of total budget. This is an 18 percent increase from 2024 budget of EUR 267,000. Within Google Search, the budget is allocated as follows: Brand search campaigns EUR 68,000; Generic wealth management keywords EUR 157,000; Competitor keyword campaigns EUR 90,000. The increase in overall Google Search budget reflects the superior 8.1x ROAS achieved in 2024 and the commitment to Google Search as the foundation of the digital acquisition strategy. The allocation within Google Search reflects strategic prioritization of generic wealth management keywords, which offer the best balance of cost and conversion efficiency. Competitor keyword campaigns receive increased budget reflecting the strategic objective of capturing high-intent users actively evaluating alternatives.</w:t>
      </w:r>
    </w:p>
    <w:p>
      <w:pPr>
        <w:spacing w:after="200"/>
      </w:pPr>
      <w:r>
        <w:t xml:space="preserve">LinkedIn receives EUR 418,000, representing 37 percent of total budget. This is a 123 percent increase from 2024 budget of EUR 187,000. The budget is allocated as follows: Account-Based Marketing targeting institutional and ultra-high-net-worth accounts EUR 228,000; Sponsored Content campaigns targeting decision-maker audiences EUR 127,000; LinkedIn InMail campaigns to existing FinEdge account holders and warm prospects EUR 63,000. The substantial increase in LinkedIn budget reflects the recognition that LinkedIn is the highest-quality lead generation channel and the strategic objective to expand reach into institutional and ultra-high-net-worth segments. The introduction of Sponsored Content represents a test of brand awareness building within LinkedIn's premium networks. InMail campaigns represent an expansion of LinkedIn's capabilities beyond paid display advertising to use LinkedIn's owned messaging channel.</w:t>
      </w:r>
    </w:p>
    <w:p>
      <w:pPr>
        <w:spacing w:after="200"/>
      </w:pPr>
      <w:r>
        <w:t xml:space="preserve">Content Marketing and Syndication receives EUR 186,000, representing 17 percent of total budget. This is a 27 percent increase from 2024 budget of EUR 146,000. The budget allocation reflects a fundamental restructuring of the content strategy, with shift away from generic thought leadership toward highly specific content addressing the pain points of DACH region wealth holders. The budget is allocated as follows: Quarterly whitepaper research and promotion EUR 82,000; Webinar marketing and promotion EUR 56,000; Content syndication for specialized topics (alternatives, ESG, family office) EUR 48,000. The whitepaper investment represents a major strategic commitment to creating original research that will differentiate FinEdge Capital in the market and generate thought leadership positioning. Webinar marketing budget reflects the recognition that webinars generate the lowest cost-per-lead and highest engagement rates.</w:t>
      </w:r>
    </w:p>
    <w:p>
      <w:pPr>
        <w:spacing w:after="200"/>
      </w:pPr>
      <w:r>
        <w:t xml:space="preserve">YouTube receives EUR 124,000, representing 11 percent of total budget. This is a 7 percent increase from 2024 budget of EUR 116,000 (estimated). The budget is allocated to video content production, YouTube advertising for brand awareness, and video syndication across digital properties. While YouTube did not deliver strong direct lead generation in 2024, it contributed to brand awareness and established FinEdge Capital as a thought leader. The 2025 YouTube strategy will focus on higher-quality video content addressing the specific interests of the four target personas.</w:t>
      </w:r>
    </w:p>
    <w:p>
      <w:pPr>
        <w:spacing w:after="200"/>
      </w:pPr>
      <w:r>
        <w:t xml:space="preserve">Display and Native advertising receives EUR 47,000, representing 4 percent of total budget. This is a 63 percent reduction from 2024 budget of EUR 127,000. Display and native advertising will continue as a supporting channel for brand awareness but will not be a growth channel for the 2025 program. The focus will be on quality placements on premium publisher networks rather than volume of impressions.</w:t>
      </w:r>
    </w:p>
    <w:p>
      <w:pPr>
        <w:spacing w:after="200"/>
      </w:pPr>
      <w:r>
        <w:t xml:space="preserve">Webinar Marketing receives EUR 30,000, representing 3 percent of budget. This is a 59 percent reduction from 2024 budget of EUR 73,000. While webinars generated strong lead volume at low cost, the conversion rates through the sales process were below target. The 2025 approach will be to reduce volume of webinars and focus instead on higher-quality, smaller webinars targeted at specific personas and decision-making groups.</w:t>
      </w:r>
    </w:p>
    <w:p>
      <w:pPr>
        <w:spacing w:after="200"/>
      </w:pPr>
      <w:r>
        <w:t xml:space="preserve">The quarterly budget allocation reflects seasonality in wealth management client decision-making and marketing effectiveness. Q1 (January-March) is the strongest quarter for wealth advisory, as clients review their portfolios following year-end statements and consider changes for the new year. Q1 budget is EUR 294,000, representing 26 percent of annual budget. Q2 (April-June) is moderate demand period, with mid-year portfolio reviews and preparation for half-year reporting. Q2 budget is EUR 266,000, representing 24 percent of annual budget. Q3 (July-September) is seasonally slower, as many decision-makers are on vacation and market activity is lower. Q3 budget is EUR 248,000, representing 22 percent of annual budget. Q4 (October-December) is strong again, driven by year-end tax planning and new year portfolio planning. Q4 budget is EUR 312,000, representing 28 percent of annual budget.</w:t>
      </w:r>
    </w:p>
    <w:p>
      <w:pPr>
        <w:spacing w:after="200"/>
      </w:pPr>
      <w:r>
        <w:t xml:space="preserve">The strategic rationale for channel allocation begins with the foundation principle that budget should flow to performance. Google Search and LinkedIn have both demonstrated superior ROAS in 2024 and represent the most efficient use of marketing capital. Together, they represent 65 percent of total budget and will drive the majority of lead volume and eventual customer acquisition. These channels will be continuously optimized throughout 2025 to improve efficiency and expand reach.</w:t>
      </w:r>
    </w:p>
    <w:p>
      <w:pPr>
        <w:spacing w:after="200"/>
      </w:pPr>
      <w:r>
        <w:t xml:space="preserve">The secondary principle is portfolio balance. Content Marketing, YouTube, and Display advertising serve important functions in the overall marketing mix beyond direct lead generation. They build brand awareness, establish thought leadership, and support the overall brand positioning that makes direct-response channels more effective. A content marketing investment of EUR 186,000 may not directly attribute to leads, but it enables the messaging and positioning that makes Google Search advertising more effective, supports thought leadership positioning that influences account-based marketing, and builds the brand reputation that attracts inbound inquiry and referral generation.</w:t>
      </w:r>
    </w:p>
    <w:p>
      <w:pPr>
        <w:spacing w:after="200"/>
      </w:pPr>
      <w:r>
        <w:t xml:space="preserve">The tertiary principle is growth and testing. The allocation includes sufficient budget to test new approaches, new platforms, and new audience segments. The increase in LinkedIn budget reflects recognition of institutional buyer opportunity. The expansion of YouTube reflects commitment to video content as thought leadership. The introduction of LinkedIn Sponsored Content represents a test of brand awareness building on a platform that has historically driven direct response. Each of these represents a strategic bet that should deliver performance benefits.</w:t>
      </w:r>
    </w:p>
    <w:r>
      <w:br w:type="page"/>
    </w:r>
    <w:p>
      <w:pPr>
        <w:pStyle w:val="Heading1"/>
        <w:spacing w:after="200"/>
      </w:pPr>
      <w:r>
        <w:t xml:space="preserve">7. Content Marketing &amp; Thought Leadership Strategy</w:t>
      </w:r>
    </w:p>
    <w:p>
      <w:pPr>
        <w:spacing w:after="200"/>
      </w:pPr>
      <w:r>
        <w:t xml:space="preserve">Content marketing and thought leadership are critical to FinEdge Capital's positioning in the DACH region wealth management market. Unlike consumer marketing, where advertising can drive immediate sales response, wealth management marketing requires the development of trust, credibility, and demonstrated expertise over extended periods. Content marketing serves multiple functions: it educates prospective clients about the investment issues most important to them, it demonstrates FinEdge Capital's expertise and thoughtfulness, it generates inbound traffic to FinEdge's website, it supports paid media campaigns with messages backed by research and data, and it establishes FinEdge's advisors as recognized experts in their field.</w:t>
      </w:r>
    </w:p>
    <w:p>
      <w:pPr>
        <w:spacing w:after="200"/>
      </w:pPr>
      <w:r>
        <w:t xml:space="preserve">The 2025 content strategy will produce four quarterly whitepapers addressing specific topics relevant to DACH region wealth holders. The Q1 2025 whitepaper is "DACH Wealth Outlook 2025: Economic Outlook, Market Risks, and Portfolio Positioning." This whitepaper will begin with a macroeconomic assessment of the DACH region economy, including economic growth prospects, inflation expectations, and interest rate outlook. It will analyze specific risks including European political fragmentation, potential trade policy changes, and emerging market volatility. Based on this analysis, it will provide portfolio positioning recommendations for clients with different risk tolerances and time horizons. The whitepaper will be positioned to generate significant inbound interest during Q1, when clients are making annual portfolio reviews.</w:t>
      </w:r>
    </w:p>
    <w:p>
      <w:pPr>
        <w:spacing w:after="200"/>
      </w:pPr>
      <w:r>
        <w:t xml:space="preserve">The Q2 2025 whitepaper is "ESG Investing for Families: Integrating Values with Returns." This whitepaper will address a topic of increasing importance to DACH region wealth holders, particularly Sophie Laurent personas and younger family members who are beginning to influence family wealth decisions. The whitepaper will explain the research on ESG investing performance, address the perceived trade-off between ESG and returns, explain FinEdge's specific ESG investment approach, and provide guidance on how families can incorporate values-based investing into their wealth plans. This whitepaper targets the audience segment for which ESG is a priority and will be positioned for launch during Q2.</w:t>
      </w:r>
    </w:p>
    <w:p>
      <w:pPr>
        <w:spacing w:after="200"/>
      </w:pPr>
      <w:r>
        <w:t xml:space="preserve">The Q3 2025 whitepaper is "Alternative Assets in Uncertain Markets: Diversification, Liquidity, and Expected Returns." This whitepaper addresses investor interest in alternatives during a period when traditional asset returns are challenged. The whitepaper will explain what alternative assets are, how they fit into a diversified portfolio, what the trade-offs are in terms of liquidity and costs, and how to evaluate alternative asset managers. This whitepaper targets investors including Andreas Meier personas who are interested in exploring alternatives but unfamiliar with the details.</w:t>
      </w:r>
    </w:p>
    <w:p>
      <w:pPr>
        <w:spacing w:after="200"/>
      </w:pPr>
      <w:r>
        <w:t xml:space="preserve">The Q4 2025 whitepaper is "Wealth Transfer Planning for Entrepreneurs: Succession, Tax Optimization, and Family Governance." This whitepaper targets the audience segment of business owners and entrepreneurs who have accumulated wealth through operating businesses and are beginning to consider wealth transfer and succession. The whitepaper will address the mechanics of wealth transfer, tax optimization strategies, family governance structure, and common succession planning mistakes. This whitepaper is positioned for launch during Q4 when entrepreneurs are engaged with financial and tax planning.</w:t>
      </w:r>
    </w:p>
    <w:p>
      <w:pPr>
        <w:spacing w:after="200"/>
      </w:pPr>
      <w:r>
        <w:t xml:space="preserve">Each whitepaper will undergo the following production process. FinEdge's Investment Research Team will develop the research hypothesis, conduct analysis, and author the whitepaper. The whitepaper will undergo compliance review to ensure that all performance data, risk characterizations, and advice guidance comply with regulatory requirements. The whitepaper will be produced as a professionally designed PDF document with FinEdge branding, charts, and data visualization. The whitepaper will be promoted through multiple channels: it will be posted on FinEdge's website and gated behind a form requesting the prospect's contact information, enabling lead capture; it will be promoted through LinkedIn sponsored content campaigns; it will be distributed through content syndication networks; and it will be shared with the FinEdge sales team to support conversations with warm prospects.</w:t>
      </w:r>
    </w:p>
    <w:p>
      <w:pPr>
        <w:spacing w:after="200"/>
      </w:pPr>
      <w:r>
        <w:t xml:space="preserve">The webinar marketing program will host quarterly webinars tied to the whitepaper topics, providing opportunity for prospects to engage in greater depth and ask questions. Each webinar will feature two to three subject matter experts, typically including one of FinEdge's investment professionals and potentially an external expert such as an academic researcher or industry specialist. Webinars will be hosted mid-afternoon European time to accommodate participants across the DACH region. Each webinar will be promoted through email to the FinEdge prospect database, through LinkedIn sponsored content campaigns, and through display advertising to reach interested prospects. Attendance will be limited to 150 participants to maintain engagement and allow for substantive Q&amp;A. Recording will be made available post-event to extend reach beyond live attendees.</w:t>
      </w:r>
    </w:p>
    <w:p>
      <w:pPr>
        <w:spacing w:after="200"/>
      </w:pPr>
      <w:r>
        <w:t xml:space="preserve">The thought leadership program for FinEdge advisors will position individual advisors as recognized experts in their fields. This program will support advisors in building personal brands and positioning themselves as authorities. The program will include support for LinkedIn article publication, opportunities for media commentary and publication in financial press, speaking opportunities at industry conferences and professional forums, and teaching opportunities with academic institutions. The investment in advisor thought leadership builds the overall brand of FinEdge Capital while also supporting individual advisor career development and personal brand building.</w:t>
      </w:r>
    </w:p>
    <w:r>
      <w:br w:type="page"/>
    </w:r>
    <w:p>
      <w:pPr>
        <w:pStyle w:val="Heading1"/>
        <w:spacing w:after="200"/>
      </w:pPr>
      <w:r>
        <w:t xml:space="preserve">8. Creative Direction &amp; Brand Guidelines</w:t>
      </w:r>
    </w:p>
    <w:p>
      <w:pPr>
        <w:spacing w:after="200"/>
      </w:pPr>
      <w:r>
        <w:t xml:space="preserve">FinEdge Capital's brand identity in digital must simultaneously communicate the firm's Swiss heritage and precision, the modern sophistication of its investment approaches, and the personal, client-centric nature of its advisory relationships. The visual identity guidelines for digital media establish clear standards for how FinEdge presents itself across all digital touchpoints.</w:t>
      </w:r>
    </w:p>
    <w:p>
      <w:pPr>
        <w:spacing w:after="200"/>
      </w:pPr>
      <w:r>
        <w:t xml:space="preserve">The primary brand color palette consists of three colors. The primary brand color is a deep purple, hex code 621563, which conveys sophistication, intellect, and trusted counsel. This color is used for primary brand elements, headlines, and call-to-action buttons. The secondary brand color is a lighter purple, hex code 831B84, which is used for secondary headlines and supporting design elements. The tertiary color is a deep charcoal gray, hex code 2B2B2B, which is used for body text and neutral backgrounds. These colors were developed to convey professional sophistication while remaining distinctive in the wealth management market where many competitors use traditional blues and grays.</w:t>
      </w:r>
    </w:p>
    <w:p>
      <w:pPr>
        <w:spacing w:after="200"/>
      </w:pPr>
      <w:r>
        <w:t xml:space="preserve">Typography supports the brand positioning with precision and readability. The primary font is Arial, which conveys modernity and efficiency. Arial is used for all body text and is selected in regular weight for optimal readability on digital screens. Headlines use Arial bold or extra-bold weights to create visual hierarchy and draw attention to key messages. Serif fonts are used only sparingly, in specific contexts such as blockquotes or featured statistics. The overall typographic treatment conveys professionalism without being stuffy or outdated.</w:t>
      </w:r>
    </w:p>
    <w:p>
      <w:pPr>
        <w:spacing w:after="200"/>
      </w:pPr>
      <w:r>
        <w:t xml:space="preserve">Visual imagery in digital advertising emphasizes several consistent themes. First, imagery should convey professionalism and trustworthiness; therefore, imagery should feature confident but not arrogant-looking professionals, clients in professional settings, and abstract representations of financial concepts such as growth, diversification, or stability. Stock photography is used only when it meets high quality standards; generic, obviously stock imagery should be avoided. Second, imagery should reflect the diversity of FinEdge's client base; therefore, imagery should include representation of men and women, representation of different age groups, and representation of different geographic regions of the DACH market. Third, imagery should avoid clichés; therefore, imagery should not feature high-fives, excessive smiling, or other stereotypical business imagery.</w:t>
      </w:r>
    </w:p>
    <w:p>
      <w:pPr>
        <w:spacing w:after="200"/>
      </w:pPr>
      <w:r>
        <w:t xml:space="preserve">The tone of voice guidelines establish how FinEdge communicates in written digital marketing content. The tone should be authoritative but approachable, demonstrating deep expertise while remaining accessible to clients who may not have extensive investment knowledge. The tone should be intellectually honest, acknowledging risks and limitations rather than making unrealistic claims. The tone should be client-centric, focusing on client outcomes and interests rather than FinEdge's interests. The tone should be never salesy; marketing messages should educate, inform, or provide genuine value rather than pressure or manipulate.</w:t>
      </w:r>
    </w:p>
    <w:p>
      <w:pPr>
        <w:spacing w:after="200"/>
      </w:pPr>
      <w:r>
        <w:t xml:space="preserve">Example tone of voice: Rather than "Outperform the market with our superior investment strategy," a FinEdge message would be: "Our research shows that strategic diversification into alternatives can help reduce portfolio volatility while providing growth potential. We would like to discuss whether alternatives might be appropriate for your specific situation." The second message is longer, less punchy, and more educational, but it is honest, client-focused, and compliant with advertising regulations.</w:t>
      </w:r>
    </w:p>
    <w:p>
      <w:pPr>
        <w:spacing w:after="200"/>
      </w:pPr>
      <w:r>
        <w:t xml:space="preserve">The messaging hierarchy guides what information is emphasized at different stages of the customer journey. At the top level of messaging hierarchy is the core value proposition: FinEdge Capital is an independent, intellectually rigorous, cost-effective wealth manager that combines traditional and alternative assets to help clients achieve their specific financial objectives while maintaining regulatory compliance and ethical standards. This core message is used in brand awareness campaigns and in meta messaging about the firm.</w:t>
      </w:r>
    </w:p>
    <w:p>
      <w:pPr>
        <w:spacing w:after="200"/>
      </w:pPr>
      <w:r>
        <w:t xml:space="preserve">At the second level of messaging hierarchy are product-specific value propositions. Portfolio Management messaging emphasizes customized asset allocation, low-cost implementation, comprehensive tax optimization, and professional management. Wealth Advisory messaging emphasizes comprehensive financial planning, coordination with clients' tax and legal advisors, and multi-generational wealth planning. Alternative Investments messaging emphasizes access to institutions-only opportunities, rigorous due diligence, and potential return enhancement. ESG Funds messaging emphasizes integration of environmental and social values with return objectives. Family Office Services messaging emphasizes comprehensive wealth management, governance support, and multi-generational planning.</w:t>
      </w:r>
    </w:p>
    <w:p>
      <w:pPr>
        <w:spacing w:after="200"/>
      </w:pPr>
      <w:r>
        <w:t xml:space="preserve">At the third level of messaging hierarchy are functional benefits and proof points. These include specific features and benefits such as "quarterly rebalancing," "tax-loss harvesting," "leverage-free implementation," and "management by experienced professionals with 15+ years average experience." These messages support the higher-level value proposition with specific, verifiable claims.</w:t>
      </w:r>
    </w:p>
    <w:p>
      <w:pPr>
        <w:spacing w:after="200"/>
      </w:pPr>
      <w:r>
        <w:t xml:space="preserve">Proof points and credibility elements are important in wealth management marketing, where trust is essential. FinEdge's proof points include: AUM of CHF 4.2 billion under management, client base of 1,200 relationships, founded in 2009 (demonstrating 16-year track record), FINMA authorization and compliance certification, client testimonials from identified clients describing positive experiences, awards and recognition from industry publications, published research and whitepapers demonstrating thought leadership, and media mentions and commentary opportunities. Each of these proof points supports the credibility and trustworthiness of FinEdge Capital.</w:t>
      </w:r>
    </w:p>
    <w:p>
      <w:pPr>
        <w:spacing w:after="200"/>
      </w:pPr>
      <w:r>
        <w:t xml:space="preserve">What not to do in creative execution is as important as what to do. FinEdge marketing must never make performance guarantees or claims that returns will exceed markets or benchmarks without comprehensive supporting data and compliance review. FinEdge marketing must never use testimonials that are not genuine or from real clients. FinEdge marketing must never make claims about fees without accurate comparison to alternatives. FinEdge marketing must never use imagery or language that appeals to avarice or "get rich quick" mentality. FinEdge marketing must never position wealth management as easy or without risk. FinEdge marketing must never make tax or legal claims without appropriate disclaimers. FinEdge marketing must never use emotional manipulation or fear-based messaging.</w:t>
      </w:r>
    </w:p>
    <w:r>
      <w:br w:type="page"/>
    </w:r>
    <w:p>
      <w:pPr>
        <w:pStyle w:val="Heading1"/>
        <w:spacing w:after="200"/>
      </w:pPr>
      <w:r>
        <w:t xml:space="preserve">9. Lead Nurturing &amp; CRM Integration</w:t>
      </w:r>
    </w:p>
    <w:p>
      <w:pPr>
        <w:spacing w:after="200"/>
      </w:pPr>
      <w:r>
        <w:t xml:space="preserve">The lead nurturing and customer relationship management strategy creates a systematic, data-driven approach to moving prospects through the consideration and decision stages of the buying process. The goal of lead nurturing is to maintain engagement with prospects who have expressed interest in FinEdge Capital but are not yet ready to make a decision, providing them with relevant information, education, and relationship-building interactions until they are ready to engage with the sales organization.</w:t>
      </w:r>
    </w:p>
    <w:p>
      <w:pPr>
        <w:spacing w:after="200"/>
      </w:pPr>
      <w:r>
        <w:t xml:space="preserve">The lead scoring model assigns numerical scores to prospects based on both behavioral signals and demographic characteristics. Behavioral signals include: visiting the website (1 point), downloading a whitepaper (5 points), attending a webinar (8 points), clicking on an advertisement (2 points), opening an email (1 point), clicking within an email (3 points), viewing multiple pages of the website (2 points per page), and spending more than 5 minutes on the website (5 points). Demographic signals include: industry matching target institutions (5 points), company size matching institutional or ultra-high-net-worth profiles (5 points), job title matching decision-maker profiles (8 points), and geographic location in DACH region (3 points). A prospect's lead score is the sum of all behavioral and demographic signals. A score of 30 or above indicates a marketing-qualified lead ready for sales engagement. A score of 50 or above indicates a high-priority lead requiring immediate sales outreach.</w:t>
      </w:r>
    </w:p>
    <w:p>
      <w:pPr>
        <w:spacing w:after="200"/>
      </w:pPr>
      <w:r>
        <w:t xml:space="preserve">The nurture track design creates customized communication journeys for different prospect segments. The High-Net-Worth Individual nurture track is designed for prospects with individual investable assets of CHF 500,000 and above. This track includes automated email communications over a 12-week period that progress through the following themes: Week 1-2, understanding investment planning; Week 3-4, alternative assets overview; Week 5-6, tax optimization strategies; Week 7-8, family wealth planning; Week 9-10, selecting an advisor; Week 11-12, next steps and engagement. Each email includes relevant content such as whitepaper excerpts, client testimonials, educational videos, or case studies. Each email also includes a call-to-action offering a consultation with a relationship manager.</w:t>
      </w:r>
    </w:p>
    <w:p>
      <w:pPr>
        <w:spacing w:after="200"/>
      </w:pPr>
      <w:r>
        <w:t xml:space="preserve">The Institutional Investor nurture track is designed for prospects representing pension funds, foundations, or other institutional entities. This track is shorter in duration (8 weeks) and more focused on institutional decision-making criteria. The communications cover: Week 1-2, institutional manager selection criteria; Week 3-4, manager due diligence process; Week 5-6, institutional performance and track record; Week 7-8, reference calls and next steps. This track includes white papers on institutional investing, case studies of institutional client relationships, and references from other institutional clients.</w:t>
      </w:r>
    </w:p>
    <w:p>
      <w:pPr>
        <w:spacing w:after="200"/>
      </w:pPr>
      <w:r>
        <w:t xml:space="preserve">The Ultra-High-Net-Worth/Family Office nurture track is designed for prospects with assets above CHF 25 million or representing family offices. This track is more personalized and less automated, reflecting the complexity and sophistication of these relationships. Initial contact is typically through direct outreach from a relationship manager. Communications over the 12-week period focus on demonstrating deep expertise in family office services, alternative assets, and multi-generational wealth planning. Communications include invitations to exclusive events, research reports on topics relevant to family offices, and introductions to FinEdge team members with relevant expertise.</w:t>
      </w:r>
    </w:p>
    <w:p>
      <w:pPr>
        <w:spacing w:after="200"/>
      </w:pPr>
      <w:r>
        <w:t xml:space="preserve">The CRM system selected for FinEdge is HubSpot, which will integrate lead capture forms, email communication, lead scoring, and performance tracking. All prospects who provide contact information through website forms, whitepaper downloads, webinar registrations, or other digital touchpoints will be automatically entered into HubSpot. The system will track all interactions with prospects, including website visits, email opens, email clicks, content downloads, and meeting registrations. The system will automatically advance prospects through nurture tracks based on their lead score and profile characteristics.</w:t>
      </w:r>
    </w:p>
    <w:p>
      <w:pPr>
        <w:spacing w:after="200"/>
      </w:pPr>
      <w:r>
        <w:t xml:space="preserve">The integration between marketing automation and the sales organization is critical for success. HubSpot will be configured to automatically alert the sales team when a prospect reaches MQL status (lead score 30+) and again when a prospect reaches SQL status (lead score 50+ or matches specific profile criteria). The sales team will have real-time visibility into prospect activity and engagement. The handoff protocol from marketing to sales will include a notification from HubSpot, a summary of the prospect's engagement history and interests, and recommended next steps for sales outreach.</w:t>
      </w:r>
    </w:p>
    <w:p>
      <w:pPr>
        <w:spacing w:after="200"/>
      </w:pPr>
      <w:r>
        <w:t xml:space="preserve">Relationship managers will be trained on how to use HubSpot to understand prospect history and tailor their outreach. If a prospect has downloaded the "ESG Investing for Families" whitepaper and attended the Q2 webinar, the relationship manager knows to emphasize ESG capabilities and family office services in initial conversations. If a prospect has been engaged with generic wealth management content but has not yet examined alternative assets, the relationship manager knows to explore whether alternatives are an appropriate fit.</w:t>
      </w:r>
    </w:p>
    <w:p>
      <w:pPr>
        <w:spacing w:after="200"/>
      </w:pPr>
      <w:r>
        <w:t xml:space="preserve">The nurture email communications are written to balance providing genuine value with advancing the sales process. Emails should educate about relevant topics, provide useful information that the prospect will value regardless of whether they choose FinEdge, and include clear but non-aggressive calls-to-action. For example, an email might share research about portfolio diversification strategies for entrepreneurs, provide insights about current market conditions affecting portfolio positioning, and conclude with "If you would like to discuss how these principles might apply to your specific situation, we would welcome a conversation. Please reply to this email or contact [name] at [contact] to schedule a discussion."</w:t>
      </w:r>
    </w:p>
    <w:r>
      <w:br w:type="page"/>
    </w:r>
    <w:p>
      <w:pPr>
        <w:pStyle w:val="Heading1"/>
        <w:spacing w:after="200"/>
      </w:pPr>
      <w:r>
        <w:t xml:space="preserve">10. Quarterly Campaign Phasing</w:t>
      </w:r>
    </w:p>
    <w:p>
      <w:pPr>
        <w:spacing w:after="200"/>
      </w:pPr>
      <w:r>
        <w:t xml:space="preserve">The 2025 campaign will be organized into four quarterly phases, each timed to align with wealth holder decision-making cycles and market dynamics. Each quarter features specific campaign themes, content releases, and promotional activities designed to drive lead generation and nurture engagement.</w:t>
      </w:r>
    </w:p>
    <w:p>
      <w:pPr>
        <w:spacing w:after="200"/>
      </w:pPr>
      <w:r>
        <w:t xml:space="preserve">Q1 (January-March) focuses on the New Year Wealth Review. The quarter begins with release of the "DACH Wealth Outlook 2025" whitepaper, which frames the macroeconomic environment and provides recommendations for portfolio positioning. The whitepaper is promoted through Google Search campaigns targeting wealth management and portfolio review keywords, through LinkedIn sponsored content to institutional and high-net-worth audiences, and through a webinar featuring two investment professionals discussing 2025 outlook. Email campaigns are executed to the existing prospect database with the whitepaper and webinar invitations. The messaging emphasizes that the new calendar year is an ideal time for clients to review their portfolios against their objectives and to consider changes if market conditions or personal circumstances have shifted.</w:t>
      </w:r>
    </w:p>
    <w:p>
      <w:pPr>
        <w:spacing w:after="200"/>
      </w:pPr>
      <w:r>
        <w:t xml:space="preserve">Q1 campaign execution includes elevated investment in Google Search for terms such as "wealth advisor," "portfolio review," and "financial planning." These keywords see elevated search volume in January and February as individuals conduct personal financial planning. LinkedIn campaigns target high-net-worth individuals and institutional investors with sponsored content about portfolio positioning. YouTube video content addressing "2025 Economic Outlook" and "Portfolio Review Process" is released and promoted. Display advertising is used for brand awareness and reminder messages. The goal is to generate 450 marketing-qualified leads in Q1, representing 25 percent of annual target, and to drive 85 webinar attendees.</w:t>
      </w:r>
    </w:p>
    <w:p>
      <w:pPr>
        <w:spacing w:after="200"/>
      </w:pPr>
      <w:r>
        <w:t xml:space="preserve">Q2 (April-June) focuses on Mid-Year Review and Institutional Reporting. Many institutional investors conduct mid-year performance reviews and use this as an opportunity to evaluate manager performance and consider reallocations. Pension funds and foundations conduct half-year performance reporting to their boards and committees, creating decision-making cycles. The quarter features release of the "ESG Investing for Families" whitepaper and webinar. This messaging is particularly targeted at Sophie Laurent personas and younger family members beginning to influence family wealth decisions. Email campaigns to existing prospects and webinar registrants focus on ESG investing and values-based wealth management.</w:t>
      </w:r>
    </w:p>
    <w:p>
      <w:pPr>
        <w:spacing w:after="200"/>
      </w:pPr>
      <w:r>
        <w:t xml:space="preserve">Q2 campaign execution includes balanced investment across channels to maintain momentum. Google Search campaigns continue with slightly reduced volume reflecting slower decision-making in spring/summer season. LinkedIn campaigns increase focus on institutional targeting and decision-maker identification. Content marketing focuses on ESG thought leadership and research. The goal is to generate 410 marketing-qualified leads in Q2, representing 23 percent of annual target.</w:t>
      </w:r>
    </w:p>
    <w:p>
      <w:pPr>
        <w:spacing w:after="200"/>
      </w:pPr>
      <w:r>
        <w:t xml:space="preserve">Q3 (July-September) is seasonally quieter, as many decision-makers are on vacation and market activity is typically lower. However, this quarter is used for relationship-building activities and thought leadership positioning. Private wealth forums, family office conferences, and professional conferences typically occur in Q3, and FinEdge will participate in select events to build relationships and establish thought leadership. The quarter features release of the "Alternative Assets in Uncertain Markets" whitepaper, which builds on interest in alternatives generated by earlier campaigns. YouTube content and thought leadership articles are released more frequently to maintain messaging presence during slower decision-making period.</w:t>
      </w:r>
    </w:p>
    <w:p>
      <w:pPr>
        <w:spacing w:after="200"/>
      </w:pPr>
      <w:r>
        <w:t xml:space="preserve">Q3 campaign execution includes reduced paid advertising spend reflecting lower demand. Budget is redirected toward content production, video marketing, and conference participation. Email campaigns continue with educational content but lower promotional intensity. Google Search spend is reduced to 15 percent of quarterly budget, reflecting lower search volume for wealth management keywords. LinkedIn ABM campaigns continue at steady state, as institutional decision-making timelines are less seasonal. The goal is to generate 350 marketing-qualified leads in Q3, representing 19 percent of annual target.</w:t>
      </w:r>
    </w:p>
    <w:p>
      <w:pPr>
        <w:spacing w:after="200"/>
      </w:pPr>
      <w:r>
        <w:t xml:space="preserve">Q4 (October-December) is the strongest quarter for wealth management decision-making, as clients conduct year-end portfolio reviews, consider tax-loss harvesting opportunities, and plan for the new year. The quarter features release of the "Wealth Transfer Planning for Entrepreneurs" whitepaper, which speaks directly to entrepreneurs conducting year-end financial and tax planning. A webinar series on tax planning, year-end portfolio adjustments, and 2026 outlook is executed in November and December. Email campaigns are executed to the full prospect database with offers for complimentary consultations and year-end planning discussions.</w:t>
      </w:r>
    </w:p>
    <w:p>
      <w:pPr>
        <w:spacing w:after="200"/>
      </w:pPr>
      <w:r>
        <w:t xml:space="preserve">Q4 campaign execution includes elevated investment across all channels reflecting highest demand. Google Search budget is increased to 32 percent of quarterly budget, focusing on high-intent keywords such as "year-end tax planning," "tax advisor," and "2026 financial planning." LinkedIn campaigns are expanded with increased account-based marketing focus and promotional intensity. Content marketing and email campaigns are at maximum intensity. Webinars are held monthly in November and December. The goal is to generate 610 marketing-qualified leads in Q4, representing 33 percent of annual target, reflecting the seasonal concentration of wealth management decision-making in year-end period.</w:t>
      </w:r>
    </w:p>
    <w:r>
      <w:br w:type="page"/>
    </w:r>
    <w:p>
      <w:pPr>
        <w:pStyle w:val="Heading1"/>
        <w:spacing w:after="200"/>
      </w:pPr>
      <w:r>
        <w:t xml:space="preserve">11. KPI Framework &amp; Success Metrics</w:t>
      </w:r>
    </w:p>
    <w:p>
      <w:pPr>
        <w:spacing w:after="200"/>
      </w:pPr>
      <w:r>
        <w:t xml:space="preserve">The KPI framework for 2025 digital marketing is designed to create alignment between marketing activities and business outcomes, to enable real-time performance monitoring and optimization, and to maintain accountability for the efficiency and effectiveness of marketing spend. The KPI framework is organized into three tiers: Business Outcome KPIs, Customer Acquisition KPIs, and Channel Performance KPIs.</w:t>
      </w:r>
    </w:p>
    <w:p>
      <w:pPr>
        <w:spacing w:after="200"/>
      </w:pPr>
      <w:r>
        <w:t xml:space="preserve">At the highest level, Business Outcome KPIs measure the ultimate objective of the digital marketing program: acquiring new clients and growing assets under management. The primary business outcome KPI is Assets Under Management Acquired from Digital Leads. The target for 2025 is EUR 42 million in AUM acquired from digital leads. This metric integrates lead generation with sales conversion and measures the ultimate impact of the digital program. The metric is calculated as the average AUM of customers acquired from digital leads multiplied by the number of customers acquired. The target reflects an expectation of 87 new customers acquired at an average AUM of EUR 483,000 per customer.</w:t>
      </w:r>
    </w:p>
    <w:p>
      <w:pPr>
        <w:spacing w:after="200"/>
      </w:pPr>
      <w:r>
        <w:t xml:space="preserve">The secondary business outcome KPI is New Customer Acquisition Cost. This metric measures the cost to acquire one new customer, calculated as total digital marketing spend divided by number of new customers acquired. The target for 2025 is EUR 12,874 cost per new customer acquired. This metric provides a business-context assessment of whether the marketing program is efficient at the level of customer acquisition.</w:t>
      </w:r>
    </w:p>
    <w:p>
      <w:pPr>
        <w:spacing w:after="200"/>
      </w:pPr>
      <w:r>
        <w:t xml:space="preserve">A tertiary business outcome KPI is Customer Lifetime Value, which measures the expected lifetime revenue from customers acquired through digital marketing. The calculation includes expected relationship duration (15 years), average assets under management at account inception (EUR 483,000), average revenue per AUM (55 basis points = 0.55 percent), and repeat purchase/cross-selling probability (95 percent). The resulting customer lifetime value is estimated at EUR 397,000 per customer. The ratio of customer lifetime value to acquisition cost is 30.8x, which serves as the overall return metric for the digital marketing program.</w:t>
      </w:r>
    </w:p>
    <w:p>
      <w:pPr>
        <w:spacing w:after="200"/>
      </w:pPr>
      <w:r>
        <w:t xml:space="preserve">At the second tier, Customer Acquisition KPIs measure lead generation, lead quality, and conversion through the sales process. The primary customer acquisition KPI is Marketing-Qualified Leads, with a target of 1,800 leads for 2025. This is a 15 percent increase from 2024 baseline of 1,568 leads. The metric is defined as prospects who have demonstrated sufficient interest in FinEdge Capital services through digital engagement (e.g., downloading content, completing inquiry forms, attending webinars) to warrant sales follow-up. The metric is tracked by channel, by persona segment, and by week to identify trends.</w:t>
      </w:r>
    </w:p>
    <w:p>
      <w:pPr>
        <w:spacing w:after="200"/>
      </w:pPr>
      <w:r>
        <w:t xml:space="preserve">The secondary customer acquisition KPI is Marketing-Qualified Lead Quality, measured as the MQL-to-SQL conversion rate. The target for 2025 is 25 percent, consistent with 2024 performance. This metric ensures that MQL volume improvements do not come at the cost of lead quality. By channel, targets vary: Google Search target is 28 percent, LinkedIn ABM target is 28 percent, Webinar target is 16 percent, Content Syndication target is 20 percent. These targets reflect the demonstrated quality of each channel and appropriate expectations.</w:t>
      </w:r>
    </w:p>
    <w:p>
      <w:pPr>
        <w:spacing w:after="200"/>
      </w:pPr>
      <w:r>
        <w:t xml:space="preserve">The tertiary customer acquisition KPI is Sales-Qualified Leads, with a target of 450 for 2025. This represents the number of leads that have been assessed by the sales organization as having sufficient interest and fit to warrant direct sales engagement. This metric is the primary KPI for handoff between marketing and sales organizations.</w:t>
      </w:r>
    </w:p>
    <w:p>
      <w:pPr>
        <w:spacing w:after="200"/>
      </w:pPr>
      <w:r>
        <w:t xml:space="preserve">The quaternary customer acquisition KPI is Sales-Qualified Lead to Customer conversion rate, with a target of 19 percent. This metric measures the effectiveness of the sales organization in converting marketing-generated opportunities into customers. A target of 19 percent implies that of 450 SQLs, approximately 87 will convert to customers. This metric is owned by the sales organization but is tracked here as part of the integrated marketing-to-business outcome chain.</w:t>
      </w:r>
    </w:p>
    <w:p>
      <w:pPr>
        <w:spacing w:after="200"/>
      </w:pPr>
      <w:r>
        <w:t xml:space="preserve">At the third tier, Channel Performance KPIs measure the efficiency and effectiveness of each individual marketing channel. These KPIs enable optimization of channel spend and identification of opportunities to shift investment to higher-performing channels.</w:t>
      </w:r>
    </w:p>
    <w:p>
      <w:pPr>
        <w:spacing w:after="200"/>
      </w:pPr>
      <w:r>
        <w:t xml:space="preserve">Google Search KPIs include Cost Per Click (target: EUR 14.20), Click-to-Lead Conversion Rate (target: 17%), and Cost Per Marketing-Qualified Lead (target: EUR 4,912). These targets reflect expected performance based on 2024 results and anticipated keyword expansion.</w:t>
      </w:r>
    </w:p>
    <w:p>
      <w:pPr>
        <w:spacing w:after="200"/>
      </w:pPr>
      <w:r>
        <w:t xml:space="preserve">LinkedIn KPIs include Cost Per Impression (target: EUR 8.50 CPM), Click-Through Rate (target: 2.8%), and Cost Per Marketing-Qualified Lead (target: EUR 1,867). LinkedIn typically delivers lower cost-per-lead than Google Search due to higher conversion rates, though lower click volume.</w:t>
      </w:r>
    </w:p>
    <w:p>
      <w:pPr>
        <w:spacing w:after="200"/>
      </w:pPr>
      <w:r>
        <w:t xml:space="preserve">Content Marketing and Webinar KPIs include Content Downloads (target: 620 per quarter), Webinar Attendance (target: 75 per webinar), and Cost Per Marketing-Qualified Lead (target: EUR 742). These metrics track the efficiency of content-based lead generation.</w:t>
      </w:r>
    </w:p>
    <w:p>
      <w:pPr>
        <w:spacing w:after="200"/>
      </w:pPr>
      <w:r>
        <w:t xml:space="preserve">YouTube KPIs include Video Views (target: 4,200 per quarter), Average View Completion Rate (target: 64%), and Video Engagement Rate (target: 3.2%). YouTube is evaluated more as a brand awareness and thought leadership channel and is tracked for engagement and view metrics rather than direct lead generation metrics.</w:t>
      </w:r>
    </w:p>
    <w:p>
      <w:pPr>
        <w:spacing w:after="200"/>
      </w:pPr>
      <w:r>
        <w:t xml:space="preserve">Attribution and multi-touch measurement is essential for understanding the true impact of marketing activities, particularly in B2B environments where the sales cycle is long and prospects may interact with multiple touchpoints before conversion. FinEdge will implement a multi-touch attribution model that credits all touchpoints in the customer journey with contributing to the conversion. The attribution model operates as follows: The first touchpoint (e.g., Google Search click) receives 30 percent credit. Middle touchpoints (e.g., webinar attendance, whitepaper download) each receive 20 percent credit. The last touchpoint (e.g., webform completion resulting in sales conversation) receives 30 percent credit. This model recognizes that early awareness-building activities are important even if they do not directly result in lead capture, while also recognizing the importance of the final conversion touchpoint.</w:t>
      </w:r>
    </w:p>
    <w:p>
      <w:pPr>
        <w:spacing w:after="200"/>
      </w:pPr>
      <w:r>
        <w:t xml:space="preserve">Reporting and dashboard infrastructure is provided through HubSpot, which integrates with Google Analytics, LinkedIn Campaign Manager, and YouTube Analytics to provide unified visibility into campaign performance. The primary marketing dashboard is reviewed weekly by the marketing team to identify emerging trends and optimization opportunities. The executive-level dashboard is reviewed monthly by leadership and includes business outcome metrics, customer acquisition KPIs, and channel performance KPIs.</w:t>
      </w:r>
    </w:p>
    <w:r>
      <w:br w:type="page"/>
    </w:r>
    <w:p>
      <w:pPr>
        <w:pStyle w:val="Heading1"/>
        <w:spacing w:after="200"/>
      </w:pPr>
      <w:r>
        <w:t xml:space="preserve">12. Risk &amp; Compliance Management</w:t>
      </w:r>
    </w:p>
    <w:p>
      <w:pPr>
        <w:spacing w:after="200"/>
      </w:pPr>
      <w:r>
        <w:t xml:space="preserve">Regulatory compliance and risk management are non-negotiable aspects of the FinEdge Capital digital marketing program. Every marketing activity must comply with applicable regulations, and the compliance infrastructure must be designed to prevent regulatory violations while maintaining marketing effectiveness.</w:t>
      </w:r>
    </w:p>
    <w:p>
      <w:pPr>
        <w:spacing w:after="200"/>
      </w:pPr>
      <w:r>
        <w:t xml:space="preserve">The regulatory compliance review process operates as follows. When the marketing team creates a marketing asset—whether an advertisement, a landing page, a piece of content, a promotional email, or a webinar—the asset is submitted to the Compliance Officer, Elena Rossi. The Compliance Officer conducts a thorough review against the approved messaging guidelines, the FINMA advertising regulations, and MiFID II requirements. The review typically requires 5 business days for straightforward assets and up to 15 business days for novel or complex assets. The Compliance Officer either approves the asset, requests modifications, or denies the asset if it cannot be brought into compliance.</w:t>
      </w:r>
    </w:p>
    <w:p>
      <w:pPr>
        <w:spacing w:after="200"/>
      </w:pPr>
      <w:r>
        <w:t xml:space="preserve">During the review process, the Compliance Officer addresses specific compliance concerns. Performance claims are evaluated for factual accuracy, appropriate time periods, gross versus net-of-fee disclosure, and appropriate disclaimers. Comparative claims are evaluated for factual accuracy and methodological rigor. Advice-like language is evaluated to ensure that communications do not cross the line from education to recommendation without appropriate suitability assessment. Risk characterizations are evaluated to ensure that risks are not minimized or obscured. Regulatory and approval claims are evaluated to ensure accuracy.</w:t>
      </w:r>
    </w:p>
    <w:p>
      <w:pPr>
        <w:spacing w:after="200"/>
      </w:pPr>
      <w:r>
        <w:t xml:space="preserve">The approval workflow is documented in writing, with detailed comments provided by the Compliance Officer if modifications are required. The marketing team can then revise the asset based on Compliance feedback and resubmit for approval. Tracking of submitted assets, review status, and approval status is maintained in a spreadsheet that provides visibility to all stakeholders.</w:t>
      </w:r>
    </w:p>
    <w:p>
      <w:pPr>
        <w:spacing w:after="200"/>
      </w:pPr>
      <w:r>
        <w:t xml:space="preserve">Pre-campaign compliance meetings occur for major campaigns to ensure that all materials are compliance-ready before execution begins. For example, before launching the Q1 campaign built around the "DACH Wealth Outlook 2025" whitepaper, the team conducts a pre-campaign meeting including marketing leadership, compliance, and sales leadership to review all campaign materials, discuss potential compliance concerns, and ensure alignment on approved messaging.</w:t>
      </w:r>
    </w:p>
    <w:p>
      <w:pPr>
        <w:spacing w:after="200"/>
      </w:pPr>
      <w:r>
        <w:t xml:space="preserve">Brand safety in advertising placements is another critical compliance concern. FinEdge Capital advertising must not appear adjacent to content that would damage the brand or create inappropriate associations. For example, FinEdge advertising should not appear adjacent to extremist political content, adult content, or content criticizing financial regulation. The digital marketing team maintains strict brand safety guidelines in all media buying, with manual review of placements on publisher networks and automatic exclusion of sensitive categories.</w:t>
      </w:r>
    </w:p>
    <w:p>
      <w:pPr>
        <w:spacing w:after="200"/>
      </w:pPr>
      <w:r>
        <w:t xml:space="preserve">Approval workflow for new product advertising includes additional requirements. When FinEdge develops a new product or significantly modifies an existing product, the regulatory requirements for advertising that product must be established before advertising begins. For a new alternative investment product, for example, the Compliance Officer and Legal Counsel will establish specific language restrictions on how the product can be advertised, what risks must be disclosed, and what performance data can be presented. Once these guardrails are established, advertising can proceed within these guardrails.</w:t>
      </w:r>
    </w:p>
    <w:p>
      <w:pPr>
        <w:spacing w:after="200"/>
      </w:pPr>
      <w:r>
        <w:t xml:space="preserve">Regulatory notifications to FINMA are required for certain marketing activities. When FinEdge develops major new advertising campaigns or significantly changes advertising strategy, notification to FINMA is required. The notification includes copies of advertising materials, explanation of the target audience, explanation of the channels used, and certification that the advertising complies with applicable regulations. FINMA's response typically includes confirmation of receipt and any questions regarding compliance. It is important to note that FINMA notification is not pre-approval; campaigns may proceed while FINMA is reviewing, but FINMA retains the right to raise concerns or require modifications.</w:t>
      </w:r>
    </w:p>
    <w:p>
      <w:pPr>
        <w:spacing w:after="200"/>
      </w:pPr>
      <w:r>
        <w:t xml:space="preserve">Data protection and privacy compliance is also important in digital marketing. All data collection through FinEdge website forms, email subscriptions, and marketing automation systems must comply with GDPR and Swiss data protection laws. The privacy policy clearly explains how data is collected, how it will be used, and what rights individuals have regarding their data. All marketing automation and email communications include unsubscribe functionality. All marketing technology systems (Google Analytics, HubSpot, LinkedIn) are configured to be GDPR-compliant.</w:t>
      </w:r>
    </w:p>
    <w:p>
      <w:pPr>
        <w:spacing w:after="200"/>
      </w:pPr>
      <w:r>
        <w:t xml:space="preserve">Risk management protocols address several specific risks. The risk that marketing generates leads that do not meet AML/KYC requirements is mitigated through customer due diligence during the sales process. The risk that marketing accidentally excludes EU-based clients is mitigated through careful compliance review and confirmation that all campaigns comply with MiFID II requirements. The risk that marketing generates leads from unqualified prospects (e.g., retail investors seeking high-risk products) is mitigated through targeting guardrails and messaging guardrails that ensure we are reaching appropriate audiences. The risk of data breaches involving prospect data is mitigated through security practices in all marketing systems.</w:t>
      </w:r>
    </w:p>
    <w:r>
      <w:br w:type="page"/>
    </w:r>
    <w:p>
      <w:pPr>
        <w:pStyle w:val="Heading1"/>
        <w:spacing w:after="200"/>
      </w:pPr>
      <w:r>
        <w:t xml:space="preserve">13. Appendix: Competitive Intelligence</w:t>
      </w:r>
    </w:p>
    <w:p>
      <w:pPr>
        <w:spacing w:after="200"/>
      </w:pPr>
      <w:r>
        <w:t xml:space="preserve">The competitive landscape in which FinEdge Capital operates includes both traditional incumbent competitors and emerging digital-first competitors. Understanding competitive positioning and competitive digital strategies is essential for differentiation.</w:t>
      </w:r>
    </w:p>
    <w:p>
      <w:pPr>
        <w:spacing w:after="200"/>
      </w:pPr>
      <w:r>
        <w:t xml:space="preserve">UBS, the largest wealth manager in Switzerland, competes primarily on scale and full-service integration. UBS's digital strategy emphasizes personal account management tools, digital wealth advisory solutions, and extensive educational content. UBS invests heavily in brand awareness and operates substantial digital advertising campaigns across Google Search, social media, and display advertising. From a competitive perspective, UBS's strength is its scale and integration; its weakness is perceived lack of focus on independent client interests and perception of high fees. FinEdge's competitive strategy against UBS is to emphasize superior intellectual honesty, lower costs, and focus on client outcomes over bank profitability.</w:t>
      </w:r>
    </w:p>
    <w:p>
      <w:pPr>
        <w:spacing w:after="200"/>
      </w:pPr>
      <w:r>
        <w:t xml:space="preserve">The legacy Credit Suisse business, now integrated within UBS following the 2023 acquisition, was also a major competitor. CS had developed a strong alternative assets platform and family office services business. The integration of CS into UBS remains ongoing, creating potential opportunity for FinEdge to capture clients dissatisfied with the post-merger integration experience.</w:t>
      </w:r>
    </w:p>
    <w:p>
      <w:pPr>
        <w:spacing w:after="200"/>
      </w:pPr>
      <w:r>
        <w:t xml:space="preserve">Scalable Capital and Selma are emerging digital-first competitors offering robo-advisory services to investors with moderate wealth levels. These platforms offer low-cost, transparent, algorithm-driven portfolio management with minimal human interaction. From a competitive perspective, these platforms are strong at cost and digital user experience but weak at access to alternatives, comprehensive wealth planning, and personal relationship management. FinEdge's competitive positioning against these platforms is to offer comprehensive services including alternatives, tax optimization, and family office services that these platforms cannot provide.</w:t>
      </w:r>
    </w:p>
    <w:p>
      <w:pPr>
        <w:spacing w:after="200"/>
      </w:pPr>
      <w:r>
        <w:t xml:space="preserve">Competitor digital strategy observation reveals several patterns. Scalable Capital has invested heavily in YouTube content creation and educational content distributed through content syndication networks. This strategy is designed to build brand awareness and drive inbound inquiry from cost-conscious investors seeking algorithm-driven solutions. Selma invests heavily in Google Search on keywords related to portfolio management and alternative investments, positioning itself as an accessible alternative to traditional wealth managers.</w:t>
      </w:r>
    </w:p>
    <w:p>
      <w:pPr>
        <w:spacing w:after="200"/>
      </w:pPr>
      <w:r>
        <w:t xml:space="preserve">Share of voice analysis compares FinEdge's advertising presence in digital channels to competitors' presence. In Google Search for wealth management keywords in the DACH region, FinEdge estimates its share of voice at approximately 8 percent, with UBS at 22 percent, Scalable Capital at 12 percent, and regional competitors splitting the remaining 58 percent. This indicates that FinEdge has visibility in the market but is not the dominant voice. The competitive implication is that increased search advertising investment could increase share of voice and capture more high-intent search traffic.</w:t>
      </w:r>
    </w:p>
    <w:p>
      <w:pPr>
        <w:spacing w:after="200"/>
      </w:pPr>
      <w:r>
        <w:t xml:space="preserve">In LinkedIn among institutional investor audiences, FinEdge's share of voice is estimated at 4 percent, with major institutional competitors including BlackRock, Vanguard, and regional institutional asset managers. This represents a significant opportunity, as LinkedIn is an important channel for institutional decision-making, and FinEdge has limited presence relative to competitors. The competitive implication is that LinkedIn investment could increase visibility among institutional audiences and differentiate FinEdge from competitors.</w:t>
      </w:r>
    </w:p>
    <w:p>
      <w:pPr>
        <w:spacing w:after="200"/>
      </w:pPr>
      <w:r>
        <w:t xml:space="preserve">Keyword battlegrounds reflect areas where multiple competitors are actively bidding. The keywords "wealth advisor Switzerland," "private equity fund," and "ESG investing" see significant competitive bidding, indicating these are high-value keywords from a business development perspective. FinEdge's strategy on these keywords is to maintain consistent presence through competitive bidding and differentiated landing page messaging that emphasizes FinEdge's unique value proposition.</w:t>
      </w:r>
    </w:p>
    <w:p>
      <w:pPr>
        <w:spacing w:after="200"/>
      </w:pPr>
      <w:r>
        <w:t xml:space="preserve">The strategic implication of competitive intelligence is that FinEdge should view digital marketing as a competitive advantage opportunity, not merely as a replacement for traditional marketing. Many competitors, particularly larger institutions, have significant legacy relationships and do not depend on digital acquisition. FinEdge, as a smaller, more agile firm, can potentially outcompete on digital channels by being more focused, more sophisticated, and more willing to invest in digital. The 2025 budget increase and channel expansion represents a strategic move to increase competitive share of voice in digital channels.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2026-04-13T11:28:09.730Z</dcterms:created>
  <dcterms:modified xsi:type="dcterms:W3CDTF">2026-04-13T11:28:09.730Z</dcterms:modified>
</cp:coreProperties>
</file>

<file path=docProps/custom.xml><?xml version="1.0" encoding="utf-8"?>
<Properties xmlns="http://schemas.openxmlformats.org/officeDocument/2006/custom-properties" xmlns:vt="http://schemas.openxmlformats.org/officeDocument/2006/docPropsVTypes"/>
</file>