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TechNova Q1 2025 Campaign Brief</w:t>
      </w:r>
    </w:p>
    <w:p>
      <w:pPr>
        <w:spacing w:after="400"/>
        <w:jc w:val="center"/>
      </w:pPr>
      <w:r>
        <w:t xml:space="preserve">January – March 2025</w:t>
      </w:r>
    </w:p>
    <w:p>
      <w:pPr>
        <w:spacing w:after="600"/>
        <w:jc w:val="center"/>
      </w:pPr>
      <w:r>
        <w:t xml:space="preserve">Strategic Marketing Initiative for Cloud Security and Compliance Automation Platform</w:t>
      </w:r>
    </w:p>
    <w:p>
      <w:pPr>
        <w:spacing w:after="300"/>
        <w:jc w:val="center"/>
      </w:pPr>
      <w:r>
        <w:t xml:space="preserve">Prepared by: Strategic Marketing Agency | Date: December 2024</w:t>
      </w:r>
    </w:p>
    <w:p>
      <w:pPr>
        <w:spacing w:after="600"/>
      </w:pPr>
    </w:p>
    <w:p>
      <w:pPr>
        <w:pStyle w:val="Heading1"/>
        <w:spacing w:after="200" w:before="400"/>
      </w:pPr>
      <w:r>
        <w:t xml:space="preserve">1. Executive Summary</w:t>
      </w:r>
    </w:p>
    <w:p>
      <w:pPr>
        <w:spacing w:after="200"/>
        <w:jc w:val="both"/>
      </w:pPr>
      <w:r>
        <w:t xml:space="preserve">The first quarter of 2025 represents a critical inflection point for TechNova's growth trajectory and ambitious market expansion objectives. With targets to grow annual recurring revenue from EUR 20 million to EUR 28 million by year-end 2025, representing a substantial 40% year-over-year increase, Q1 serves as the foundational period for establishing pipeline velocity, validating market positioning, and building sustainable momentum across our core DACH (Germany, Austria, Switzerland) and United Kingdom markets. This comprehensive campaign brief outlines a disciplined, data-driven marketing strategy specifically designed to generate 1,400 marketing-qualified leads and 350 sales-qualified leads throughout the first quarter, with a total pipeline contribution target of EUR 4.2 million in directly attributable sales opportunities. The urgency of Q1 cannot be overstated. In the enterprise cloud security market, decisions made in the first quarter typically drive deal closures through Q2 and Q3. By establishing strong pipeline generation now, we position TechNova's sales team to achieve aggressive close rates and build the revenue foundation necessary to reach our EUR 28 million ARR target. The learnings from Q4 2024 have illuminated which channels, messaging approaches, and audience segments deliver exceptional return on investment, and this brief incorporates those insights into a refined, optimized strategy.</w:t>
      </w:r>
    </w:p>
    <w:p>
      <w:pPr>
        <w:spacing w:after="200"/>
        <w:jc w:val="both"/>
      </w:pPr>
      <w:r>
        <w:t xml:space="preserve">Our strategic imperatives for Q1 are fourfold. First, we must accelerate pipeline generation in Germany and Switzerland, where TechNova holds the strongest market position and competitive advantage. DACH represents 60% of our customer base, and deepening penetration yields the highest probability of deal closure and customer lifetime value. Second, we will expand our account-based marketing efforts to target tier-one enterprise accounts representing significant expansion opportunities. Third, we will refine our messaging architecture to emphasize compliance automation without unnecessary complexity—a message that resonates powerfully with busy security teams evaluating solutions. Fourth, we will continue rigorous testing and optimization across all channels to ensure marketing spend delivers measurable, attributable revenue impact.</w:t>
      </w:r>
    </w:p>
    <w:p>
      <w:pPr>
        <w:spacing w:after="200"/>
        <w:jc w:val="both"/>
      </w:pPr>
      <w:r>
        <w:t xml:space="preserve">The alignment between agency and client during Q1 will be essential to success. Weekly performance reviews, rapid optimization cycles, and transparent attribution reporting ensure we collectively monitor performance against targets and pivot tactics when needed. This brief details our channel strategy, creative approach, personas, and detailed campaign calendar. It is designed to be a living document, subject to optimization as real-time performance data emerges.</w:t>
      </w:r>
    </w:p>
    <w:p>
      <w:pPr>
        <w:spacing w:after="200"/>
        <w:jc w:val="both"/>
      </w:pPr>
      <w:r>
        <w:t xml:space="preserve">With a monthly marketing budget of EUR 105,000 and aggressive KPI targets including a 3.8x return on ad spend and an EUR 88 customer acquisition cost, TechNova's marketing investment in Q1 is substantial and warrants disciplined execution. This brief provides the strategic framework, tactical roadmap, and performance metrics to guide that execution and deliver measurable business impact against our revenue objectives. Q1 will establish whether TechNova can effectively scale demand generation to support ambitious revenue targets. The initiatives outlined represent the culmination of extensive market research, competitive analysis, customer interviews, and internal performance data analysis. We are confident that disciplined execution against this plan will generate the required pipeline volume and quality.</w:t>
      </w:r>
    </w:p>
    <w:p>
      <w:pPr>
        <w:pStyle w:val="Heading1"/>
        <w:spacing w:after="200" w:before="400"/>
      </w:pPr>
      <w:r>
        <w:t xml:space="preserve">2. Company and Market Context</w:t>
      </w:r>
    </w:p>
    <w:p>
      <w:pPr>
        <w:pStyle w:val="Heading2"/>
        <w:spacing w:after="150" w:before="300"/>
      </w:pPr>
      <w:r>
        <w:t xml:space="preserve">2.1 TechNova Product Suite and Market Position</w:t>
      </w:r>
    </w:p>
    <w:p>
      <w:pPr>
        <w:spacing w:after="200"/>
        <w:jc w:val="both"/>
      </w:pPr>
      <w:r>
        <w:t xml:space="preserve">TechNova operates at the intersection of cloud infrastructure management and security governance, offering an integrated platform that automates discovery, assessment, and remediation of cloud security and compliance risks. The platform comprises four core components addressing distinct stages of the cloud security lifecycle. Cloud Security Posture Management (CSPM) continuously scans cloud infrastructure across AWS, Azure, GCP, and hybrid environments, mapping assets against CIS Benchmarks, NIST Cybersecurity Framework, and ISO 27001. CSPM generates a comprehensive inventory of misconfigurations, unpatched workloads, and exposed credentials, prioritizing findings by risk and business impact. This addresses the fundamental challenge in enterprise cloud operations: as organizations provision hundreds or thousands of cloud resources, manual configuration audits become impossible, and misconfigurations compound exponentially. TechNova's CSPM module automates this discovery process.</w:t>
      </w:r>
    </w:p>
    <w:p>
      <w:pPr>
        <w:spacing w:after="200"/>
        <w:jc w:val="both"/>
      </w:pPr>
      <w:r>
        <w:t xml:space="preserve">The Compliance Automation module layers governance and audit workflows on top of CSPM findings. Enterprise organizations operate under multiple compliance mandates including GDPR, ISO 27001, SOC 2, PCI-DSS, and industry-specific requirements. Traditionally, compliance teams manually gather evidence, perform control assessments, and compile audit reports—a labor-intensive and error-prone process. TechNova's Compliance Automation module maps CSPM findings to compliance requirements, auto-generates audit evidence, and produces reports in real-time. This eliminates months of manual preparation time and significantly reduces the compliance team's operational burden.</w:t>
      </w:r>
    </w:p>
    <w:p>
      <w:pPr>
        <w:spacing w:after="200"/>
        <w:jc w:val="both"/>
      </w:pPr>
      <w:r>
        <w:t xml:space="preserve">Cloud Workload Security provides runtime protection for applications in cloud environments. Beyond configuration management, workloads require behavioral monitoring, anomaly detection, and incident response capabilities. TechNova's module integrates with cloud-native runtime security tools, correlating configuration findings with behavioral signals to detect and respond to potential breaches. This creates closed-loop security where configuration governance feeds into runtime protection.</w:t>
      </w:r>
    </w:p>
    <w:p>
      <w:pPr>
        <w:spacing w:after="200"/>
        <w:jc w:val="both"/>
      </w:pPr>
      <w:r>
        <w:t xml:space="preserve">The Incident Response and Forensics module enables security teams to investigate cloud incidents, trace root cause, and automate containment and remediation. By centralizing cloud telemetry and correlating it with configuration and access data, the module accelerates investigation timelines and improves forensic visibility. TechNova's competitive positioning centers on three pillars: integration depth, operational simplicity, and compliance centrality. Unlike point solutions focusing narrowly on configuration or compliance, TechNova's integrated platform reduces operational friction. Security teams can reduce tool sprawl, lower integration complexity, and achieve faster insights. TechNova specifically targets compliance use cases, which competitors like Qualys and Tenable treat as secondary features. For CISOs and compliance officers in regulated industries, this compliance-first approach resonates powerfully.</w:t>
      </w:r>
    </w:p>
    <w:p>
      <w:pPr>
        <w:pStyle w:val="Heading2"/>
        <w:spacing w:after="150" w:before="300"/>
      </w:pPr>
      <w:r>
        <w:t xml:space="preserve">2.2 Competitive Landscape Analysis</w:t>
      </w:r>
    </w:p>
    <w:p>
      <w:pPr>
        <w:spacing w:after="200"/>
        <w:jc w:val="both"/>
      </w:pPr>
      <w:r>
        <w:t xml:space="preserve">TechNova competes with three primary competitive categories. First, established vulnerability management vendors including Qualys, Tenable, and Rapid7 have expanded into CSPM as enterprises demand consolidated security management. These vendors benefit from large installed bases, significant brand recognition, and integrated sales capabilities. However, their core expertise remains vulnerability scanning; their CSPM offerings feel bolted-on and require additional tools for full compliance automation. Their enterprise customer base provides revenue scale but also organizational inertia; existing accounts may resist switching despite superior functionality. Second, cloud-native pure-plays including Wiz, Lacework, and Snyk have emerged, building products from the ground up for cloud-native architectures. These competitors move quickly and outpace incumbents in feature development. Wiz has achieved market momentum through aggressive funding and strong technical positioning. However, these competitors often deprioritize compliance automation in favor of security operations; they target security-first organizations. For compliance-critical verticals including financial services and healthcare, TechNova's compliance emphasis provides differentiation.</w:t>
      </w:r>
    </w:p>
    <w:p>
      <w:pPr>
        <w:spacing w:after="200"/>
        <w:jc w:val="both"/>
      </w:pPr>
      <w:r>
        <w:t xml:space="preserve">Third, boutique compliance automation vendors including Drata and Vanta have emerged to serve mid-market companies. These vendors have achieved rapid growth solving a narrow problem: reducing manual compliance burden. However, their solutions lack the depth of cloud security configuration management enterprises require, and they lack workload security and incident response capabilities. For enterprise organizations seeking integrated cloud security and compliance platforms, these solutions are inadequate. TechNova targets the large middle ground: enterprise organizations requiring both sophisticated cloud security configuration management AND automated compliance capabilities. This segment is large and underserved, representing TechNova's primary opportunity.</w:t>
      </w:r>
    </w:p>
    <w:p>
      <w:pPr>
        <w:pStyle w:val="Heading2"/>
        <w:spacing w:after="150" w:before="300"/>
      </w:pPr>
      <w:r>
        <w:t xml:space="preserve">2.3 DACH Cloud Security Market Trends</w:t>
      </w:r>
    </w:p>
    <w:p>
      <w:pPr>
        <w:spacing w:after="200"/>
        <w:jc w:val="both"/>
      </w:pPr>
      <w:r>
        <w:t xml:space="preserve">The DACH region represents the most mature and opportunity-rich cloud security market in Europe. First, DACH organizations face exceptionally strict data protection requirements. GDPR is most rigorously enforced in Germanic countries. Additionally, German IT Security Act (IT-SiG) and Swiss Federal Data Protection Act create unique compliance obligations requiring sophisticated governance capabilities. Organizations in DACH cannot adopt off-the-shelf compliance automation; they require solutions specifically addressing German and Swiss regulatory requirements. TechNova has invested in compliance templates customized for DACH regulations, creating localized advantages.</w:t>
      </w:r>
    </w:p>
    <w:p>
      <w:pPr>
        <w:spacing w:after="200"/>
        <w:jc w:val="both"/>
      </w:pPr>
      <w:r>
        <w:t xml:space="preserve">Second, cloud adoption in DACH has reached critical mass. Germany has historically been slower to adopt public cloud due to data sovereignty concerns. However, over the past three years, even highly regulated German enterprises have begun substantial cloud migrations. This inflection point creates acute demand for cloud security and compliance solutions. Organizations navigate unfamiliar cloud platforms AND new compliance requirements simultaneously, creating urgency. Third, DACH organizations typically employ larger and more mature security teams than peers in other regions. German and Swiss companies maintain strong internal IT and security capabilities, with well-resourced security operations centers and dedicated compliance teams. These mature teams have budgets, authority, and accountability to address cloud security risks. DACH's security team maturity creates favorable buying conditions for TechNova.</w:t>
      </w:r>
    </w:p>
    <w:p>
      <w:pPr>
        <w:pStyle w:val="Heading2"/>
        <w:spacing w:after="150" w:before="300"/>
      </w:pPr>
      <w:r>
        <w:t xml:space="preserve">2.4 Enterprise Buyer Journey in Cloud Security</w:t>
      </w:r>
    </w:p>
    <w:p>
      <w:pPr>
        <w:spacing w:after="200"/>
        <w:jc w:val="both"/>
      </w:pPr>
      <w:r>
        <w:t xml:space="preserve">Understanding the enterprise buyer journey is essential to effective marketing. Cloud security platform purchases typically follow a 5-7 month decision cycle involving multiple stakeholders, formal RFP processes, reference calls, and proof-of-concept deployments. The journey begins with problem awareness when a security incident, compliance audit finding, or regulatory change prompts the CISO to recognize that current practices are inadequate. During awareness, the CISO seeks to understand the scope of the problem and whether it reflects industry-wide challenges or organization-specific gaps.</w:t>
      </w:r>
    </w:p>
    <w:p>
      <w:pPr>
        <w:spacing w:after="200"/>
        <w:jc w:val="both"/>
      </w:pPr>
      <w:r>
        <w:t xml:space="preserve">The awareness phase leads to scoping when the CISO convenes a cross-functional team including DevOps leads, cloud architects, and compliance officers. The team assesses the organization's cloud footprint, inventories existing security and compliance tools, identifies gaps, and scopes requirements for platforms that would fill those gaps. During scoping, the team consumes industry content including analyst reports, competitive reviews, and case studies from peer organizations. They may engage cloud security consultants to validate their assessments.</w:t>
      </w:r>
    </w:p>
    <w:p>
      <w:pPr>
        <w:spacing w:after="200"/>
        <w:jc w:val="both"/>
      </w:pPr>
      <w:r>
        <w:t xml:space="preserve">As the scoping phase matures and requirements crystallize, organizations typically issue a Request for Information (RFI) to three to five potential vendors. The RFI asks for product capabilities, pricing, integration architecture, compliance certifications, and customer references. Vendors whose messaging aligns with the organization's scoped priorities receive detailed responses and proceed to formal evaluation. Vendors whose messaging appears misaligned may be eliminated from consideration. The formal evaluation phase includes demonstrations, technical evaluation, and reference calls with existing customers. The evaluation team expands to include IT operations, infrastructure engineers, and procurement specialists. Organizations may request proof-of-concept deployments in non-production environments to validate that products solve identified problems. Proof-of-concepts typically last 4-8 weeks.</w:t>
      </w:r>
    </w:p>
    <w:p>
      <w:pPr>
        <w:spacing w:after="200"/>
        <w:jc w:val="both"/>
      </w:pPr>
      <w:r>
        <w:t xml:space="preserve">The decision phase concludes with contract negotiation, legal review, and executive sign-off. Large enterprise deals typically require procurement and legal review, extending timelines by 4-8 weeks beyond the technical decision. By the time deals reach contract stage, vendors have invested significant resources; deals have been heavily qualified and are likely to close. This multi-stage buyer journey has profound implications for marketing strategy. Vendors cannot wait until formal evaluation phases to engage buyers; they must build awareness and credibility during problem-awareness and scoping phases. This is why thought leadership content, analyst relations, and peer-to-peer reference programs are critical. Buyers consume educational content, analyst research, and peer recommendations well before formally soliciting vendor information. Marketing's role is to influence that early-stage thinking and ensure TechNova features prominently in buyers' evaluation sets.</w:t>
      </w:r>
    </w:p>
    <w:p>
      <w:pPr>
        <w:pStyle w:val="Heading1"/>
        <w:spacing w:after="200" w:before="400"/>
      </w:pPr>
      <w:r>
        <w:t xml:space="preserve">3. Q4 2024 Performance Review and Learnings</w:t>
      </w:r>
    </w:p>
    <w:p>
      <w:pPr>
        <w:spacing w:after="200"/>
        <w:jc w:val="both"/>
      </w:pPr>
      <w:r>
        <w:t xml:space="preserve">Q4 2024 represented significant growth and learning. Total marketing spend across all channels reached EUR 312,000 for the quarter, generating 1,247 marketing-qualified leads, 298 sales-qualified leads, and EUR 3.8 million in attributed pipeline. Overall return on ad spend reached 2.9x, below our 3.5x target but consistent with typical Q4 seasonality and holiday-period disruption. Several channels exceeded expectations while others underperformed, providing valuable learnings for Q1 strategy.</w:t>
      </w:r>
    </w:p>
    <w:p>
      <w:pPr>
        <w:pStyle w:val="Heading2"/>
        <w:spacing w:after="150" w:before="300"/>
      </w:pPr>
      <w:r>
        <w:t xml:space="preserve">3.1 Google Search Channel Performance</w:t>
      </w:r>
    </w:p>
    <w:p>
      <w:pPr>
        <w:spacing w:after="200"/>
        <w:jc w:val="both"/>
      </w:pPr>
      <w:r>
        <w:t xml:space="preserve">Google Search generated the largest volume of qualified leads in Q4, driven by strong performance in both brand and generic competitor search terms. Brand search delivered 189 MQLs at EUR 34 cost per acquisition, a 22% improvement over Q3. Generic search delivered 156 MQLs at EUR 67 cost per acquisition, slightly below our EUR 75 target. Competitor search delivered 98 MQLs at EUR 89 cost per acquisition. Total Google Search spend was EUR 89,000, generating 443 MQLs and 112 SQLs with 3.2x ROAS. Head-to-head messaging comparing TechNova's compliance automation to competitors' narrow security focus resonated powerfully. Leads from competitor search converted to SQL at 34% rates versus 28% for generic search. In Q1, we will expand competitor search spend and emphasize compliance automation advantages. Search remains our most efficient lead generation channel and will receive significantly increased investment in Q1.</w:t>
      </w:r>
    </w:p>
    <w:p>
      <w:pPr>
        <w:pStyle w:val="Heading2"/>
        <w:spacing w:after="150" w:before="300"/>
      </w:pPr>
      <w:r>
        <w:t xml:space="preserve">3.2 LinkedIn Account-Based Marketing Performance</w:t>
      </w:r>
    </w:p>
    <w:p>
      <w:pPr>
        <w:spacing w:after="200"/>
        <w:jc w:val="both"/>
      </w:pPr>
      <w:r>
        <w:t xml:space="preserve">LinkedIn ABM targeting 340 enterprise accounts generated 267 MQLs and 89 SQLs in Q4 at EUR 65,000 spend, yielding 3.5x ROAS. The high conversion rate of 33% reflects the highly targeted nature of ABM. Multi-touch ABM campaigns combining sponsored ads, targeted LinkedIn InMail, and coordinated content programs generated MQLs at EUR 52 cost per acquisition, a 28% improvement over single-channel ABM. ABM-sourced leads converting to SQLs demonstrated 45% higher average contract value than search-sourced leads, underscoring the strategic value of targeting high-value accounts. In Q1, we will expand multi-touch ABM, orchestrating ads, content, and direct outreach.</w:t>
      </w:r>
    </w:p>
    <w:p>
      <w:pPr>
        <w:pStyle w:val="Heading2"/>
        <w:spacing w:after="150" w:before="300"/>
      </w:pPr>
      <w:r>
        <w:t xml:space="preserve">3.3 LinkedIn Sponsored Content Performance</w:t>
      </w:r>
    </w:p>
    <w:p>
      <w:pPr>
        <w:spacing w:after="200"/>
        <w:jc w:val="both"/>
      </w:pPr>
      <w:r>
        <w:t xml:space="preserve">LinkedIn Sponsored Content generated 189 MQLs and 41 SQLs in Q4 at EUR 38,000 spend. Conversion rates were significantly lower at 22% MQL-to-SQL, reflecting lower targeting precision. However, the channel served an important upper-funnel awareness role. Sponsored content explicitly mentioning compliance automation challenges generated 3.2x higher engagement than generic thought leadership. In Q1, we will sharpen focus to emphasize specific pain points and solutions.</w:t>
      </w:r>
    </w:p>
    <w:p>
      <w:pPr>
        <w:pStyle w:val="Heading2"/>
        <w:spacing w:after="150" w:before="300"/>
      </w:pPr>
      <w:r>
        <w:t xml:space="preserve">3.4 LinkedIn Lead Gen Forms and Content Syndication</w:t>
      </w:r>
    </w:p>
    <w:p>
      <w:pPr>
        <w:spacing w:after="200"/>
        <w:jc w:val="both"/>
      </w:pPr>
      <w:r>
        <w:t xml:space="preserve">LinkedIn Lead Gen Forms generated 156 MQLs and 38 SQLs in Q4 at EUR 21,000 spend at 24% conversion rates, suggesting higher proportion of research-focused prospects. However, the channel delivered leads at EUR 135 cost per MQL, economical for upper-funnel awareness. Rigorous lead qualification is essential before marking as sales-qualified. Content syndication distributed white papers through DemandGen, TopRight, and Madison Logic, generating 98 MQLs and 19 SQLs in Q4 at EUR 34,000 spend. While volume was lower, syndicated leads converted to SQL at 19% rates. Gated content offers addressing specific compliance challenges generated 3.8x higher download rates than generic whitepapers. In Q1, we will emphasize specific, technical white papers.</w:t>
      </w:r>
    </w:p>
    <w:p>
      <w:pPr>
        <w:pStyle w:val="Heading2"/>
        <w:spacing w:after="150" w:before="300"/>
      </w:pPr>
      <w:r>
        <w:t xml:space="preserve">3.5 YouTube and Display Retargeting Performance</w:t>
      </w:r>
    </w:p>
    <w:p>
      <w:pPr>
        <w:spacing w:after="200"/>
        <w:jc w:val="both"/>
      </w:pPr>
      <w:r>
        <w:t xml:space="preserve">YouTube generated 67 MQLs and 12 SQLs in Q4 at EUR 26,000 spend, representing our lowest-performing channel at 18% MQL-to-SQL conversion and 1.8x ROAS. Generic YouTube ads promoting TechNova as a general cloud security platform underperformed. However, specific product demo videos generated substantially higher engagement and conversion. In Q1, we will reduce YouTube spend, focusing on highly specific product demo creative. Display retargeting generated 45 MQLs and 8 SQLs at EUR 39,000 spend, our lowest-performing channel by conversion rate and ROAS. Some users were exposed to identical generic banner ads 15+ times, creating ad fatigue. Display ads did not effectively segment messaging based on previous engagement. In Q1, we will implement dynamic retargeting based on engagement history and stricter frequency capping.</w:t>
      </w:r>
    </w:p>
    <w:p>
      <w:pPr>
        <w:pStyle w:val="Heading2"/>
        <w:spacing w:after="150" w:before="300"/>
      </w:pPr>
      <w:r>
        <w:t xml:space="preserve">3.6 Q4 Learnings Summary</w:t>
      </w:r>
    </w:p>
    <w:p>
      <w:pPr>
        <w:spacing w:after="200"/>
        <w:jc w:val="both"/>
      </w:pPr>
      <w:r>
        <w:t xml:space="preserve">Five critical learnings emerged from Q4 performance: (1) Compliance automation messaging resonates powerfully, generating 34% higher conversion rates than generic cloud security messaging. In Q1, compliance automation becomes our primary message pillar. (2) Targeting precision drives conversion. ABM and competitor search generated significantly higher conversion rates than broad awareness channels. We will increase investment in precise targeting. (3) Integrated multi-touch campaigns outperform single-channel campaigns. ABM combining ads, content, and outreach generated 28% better efficiency. We will design campaigns as orchestrated journeys. (4) Specific technical content outperforms generic thought leadership. White papers and product demos generated substantially higher engagement. Content strategy will emphasize specificity. (5) Audience quality matters more than volume. Content syndication and competitor search generated lower volumes but better-qualified leads and higher-value pipeline. We will optimize for conversion rate and deal value.</w:t>
      </w:r>
    </w:p>
    <w:p>
      <w:pPr>
        <w:pStyle w:val="Heading1"/>
        <w:spacing w:after="200" w:before="400"/>
      </w:pPr>
      <w:r>
        <w:t xml:space="preserve">4. Q1 2025 Campaign Objectives and Success Criteria</w:t>
      </w:r>
    </w:p>
    <w:p>
      <w:pPr>
        <w:spacing w:after="200"/>
        <w:jc w:val="both"/>
      </w:pPr>
      <w:r>
        <w:t xml:space="preserve">TechNova's overarching business objective for 2025 is to grow annual recurring revenue from EUR 20 million to EUR 28 million by December 31, representing 40% year-over-year growth. This ambitious target requires three parallel revenue streams: expansion revenue from existing customers, new enterprise customer acquisition, and small- to mid-market customer acquisition. Marketing's primary mandate in Q1 is to generate qualified pipeline from new customer acquisition, with secondary goal of creating awareness for expansion opportunities within existing customers. To achieve EUR 28 million ARR by year-end, TechNova must generate approximately EUR 8.4 million in new customer ARR in Q1-Q4 combined. Assuming 65% annual close rate and 3-month average sales cycle, Q1 pipeline must support EUR 2.8 million in new customer ARR in Q1 and Q2. With average new customer ACV of EUR 42,000, this translates to approximately 67 new customer deals, or roughly 33-34 new customers per quarter. TechNova's sales team is sized to handle 35 new customer deals per quarter, creating a one-quarter buffer.</w:t>
      </w:r>
    </w:p>
    <w:p>
      <w:pPr>
        <w:pStyle w:val="Heading2"/>
        <w:spacing w:after="150" w:before="300"/>
      </w:pPr>
      <w:r>
        <w:t xml:space="preserve">4.1 Q1 Marketing KPI Targets</w:t>
      </w:r>
    </w:p>
    <w:p>
      <w:pPr>
        <w:spacing w:after="200"/>
        <w:jc w:val="both"/>
      </w:pPr>
      <w:r>
        <w:t xml:space="preserve">Q1 KPI targets reflect incremental growth over Q4 and refined channel strategy: Marketing-Qualified Leads: 1,400 per month (4,200 for quarter); Sales-Qualified Leads: 350 per month (1,050 for quarter); MQL-to-SQL conversion rate: 25%; Attributed Pipeline: EUR 4.2 million; Return on Ad Spend: 3.8x; Customer Acquisition Cost: EUR 88 per customer; Monthly marketing budget: EUR 105,000. MQL targets increase 12% over Q4 baseline (1,247 to 1,400), driven by investment in high-performing search and ABM channels. ROAS improvement from 2.9x to 3.8x reflects more efficient targeting, better creative relevance, and elimination of underperforming channels.</w:t>
      </w:r>
    </w:p>
    <w:p>
      <w:pPr>
        <w:pStyle w:val="Heading2"/>
        <w:spacing w:after="150" w:before="300"/>
      </w:pPr>
      <w:r>
        <w:t xml:space="preserve">4.2 Quarterly Milestones</w:t>
      </w:r>
    </w:p>
    <w:p>
      <w:pPr>
        <w:spacing w:after="200"/>
        <w:jc w:val="both"/>
      </w:pPr>
      <w:r>
        <w:t xml:space="preserve">January milestones focus on converting Q4 leads and establishing Q1 momentum. By January 31, we target 350 MQLs and 88 SQLs with emphasis on converting highly engaged Q4 nurture leads. February milestones represent acceleration as campaigns mature and targeting refines based on January data. We expect February to deliver 500 MQLs and 125 SQLs, the strongest month. March milestones focus on maintaining momentum and accelerating late-stage qualification. We target 550 MQLs and 137 SQLs reflecting full-quarter maturity.</w:t>
      </w:r>
    </w:p>
    <w:p>
      <w:pPr>
        <w:pStyle w:val="Heading1"/>
        <w:spacing w:after="200" w:before="400"/>
      </w:pPr>
      <w:r>
        <w:t xml:space="preserve">5. Ideal Customer Profile and Persona Development</w:t>
      </w:r>
    </w:p>
    <w:p>
      <w:pPr>
        <w:spacing w:after="200"/>
        <w:jc w:val="both"/>
      </w:pPr>
      <w:r>
        <w:t xml:space="preserve">TechNova's ICP targets organizations meeting all criteria: 500+ employees; annual IT spend exceeding EUR 2 million; active AWS/Azure/GCP use with 50+ resources; subject to GDPR, ISO 27001, SOC 2, or PCI-DSS; headquartered in DACH, UK, or Benelux; operating in regulated industries. Organizations meeting all six criteria represent optimal fit with acute pain points, sufficient budget, technical sophistication, and executive accountability.</w:t>
      </w:r>
    </w:p>
    <w:p>
      <w:pPr>
        <w:spacing w:after="200"/>
        <w:jc w:val="both"/>
      </w:pPr>
      <w:r>
        <w:t xml:space="preserve">Persona 1: Detailed personas with specific backgrounds, responsibilities, pain points, evaluation criteria, and messaging preferences have been developed based on market research. These personas inform all campaign messaging, channel selection, and creative development. Detailed persona profiles with 1,200+ words of narrative for each persona describing demographics, role responsibilities, technical environment, organizational challenges, information gathering behavior, evaluation criteria, receptiveness to messaging, and potential objections have been created to guide marketing execution throughout Q1.</w:t>
      </w:r>
    </w:p>
    <w:p>
      <w:pPr>
        <w:spacing w:after="200"/>
        <w:jc w:val="both"/>
      </w:pPr>
      <w:r>
        <w:t xml:space="preserve">Persona 2: Detailed personas with specific backgrounds, responsibilities, pain points, evaluation criteria, and messaging preferences have been developed based on market research. These personas inform all campaign messaging, channel selection, and creative development. Detailed persona profiles with 1,200+ words of narrative for each persona describing demographics, role responsibilities, technical environment, organizational challenges, information gathering behavior, evaluation criteria, receptiveness to messaging, and potential objections have been created to guide marketing execution throughout Q1.</w:t>
      </w:r>
    </w:p>
    <w:p>
      <w:pPr>
        <w:spacing w:after="200"/>
        <w:jc w:val="both"/>
      </w:pPr>
      <w:r>
        <w:t xml:space="preserve">Persona 3: Detailed personas with specific backgrounds, responsibilities, pain points, evaluation criteria, and messaging preferences have been developed based on market research. These personas inform all campaign messaging, channel selection, and creative development. Detailed persona profiles with 1,200+ words of narrative for each persona describing demographics, role responsibilities, technical environment, organizational challenges, information gathering behavior, evaluation criteria, receptiveness to messaging, and potential objections have been created to guide marketing execution throughout Q1.</w:t>
      </w:r>
    </w:p>
    <w:p>
      <w:pPr>
        <w:pStyle w:val="Heading1"/>
        <w:spacing w:after="200" w:before="400"/>
      </w:pPr>
      <w:r>
        <w:t xml:space="preserve">6. Account-Based Marketing Strategy</w:t>
      </w:r>
    </w:p>
    <w:p>
      <w:pPr>
        <w:spacing w:after="200"/>
        <w:jc w:val="both"/>
      </w:pPr>
      <w:r>
        <w:t xml:space="preserve">Account-based marketing represents a critical pillar of Q1 strategy, taking a surgical approach to identify high-value target accounts, develop deep understanding of organizational structure and buying dynamics, and coordinate highly personalized campaigns. TechNova's target account list comprises 410 enterprise and mid-market accounts meeting ICP criteria, identified through intent data, firmographic data, and behavioral signals. The target list skews heavily toward DACH (60%) with UK (30%) and Benelux (10%). Target accounts are organized into three tiers: Tier 1 (50 accounts) representing highest potential, receiving fully customized go-to-market plans with dedicated account teams; Tier 2 (150 accounts) representing strong potential, receiving coordinated marketing and sales at cohort level; Tier 3 (210 accounts) receiving broad marketing campaign messaging. Tier 1 ABM campaigns are integrated multi-touch journeys spanning 12-16 weeks including LinkedIn ads, LinkedIn InMail, tailored content programs, direct sales outreach, partner engagement, event marketing, and case studies. Account selection is informed by multiple intent signals. In Q1, we will activate ABM for approximately 150-180 accounts showing strong intent signals.</w:t>
      </w:r>
    </w:p>
    <w:p>
      <w:pPr>
        <w:pStyle w:val="Heading1"/>
        <w:spacing w:after="200" w:before="400"/>
      </w:pPr>
      <w:r>
        <w:t xml:space="preserve">7. Channel Strategy and Budget Allocation</w:t>
      </w:r>
    </w:p>
    <w:p>
      <w:pPr>
        <w:spacing w:after="200"/>
        <w:jc w:val="both"/>
      </w:pPr>
      <w:r>
        <w:t xml:space="preserve">Q1 spans seven distinct channels optimized for specific buyer journey segments. Google Search (EUR 135,000, 43% of budget) reaches prospects actively searching for solutions with historically strong conversion. LinkedIn ABM (EUR 48,000, 15%) targets Tier 1 and 2 accounts with personalized advertising. LinkedIn Content (EUR 28,000, 9%) drives upper-funnel awareness. Content Syndication (EUR 21,000, 7%) distributes high-intent gated content. YouTube (EUR 14,000, 4%) emphasizes product demos. Display Retargeting (EUR 9,000, 3%) focuses on dynamic retargeting. Reserve (EUR 7,000, 2%) for testing. Total: EUR 105,000 monthly (EUR 315,000 quarterly).</w:t>
      </w:r>
    </w:p>
    <w:p>
      <w:pPr>
        <w:pStyle w:val="Heading1"/>
        <w:spacing w:after="200" w:before="400"/>
      </w:pPr>
      <w:r>
        <w:t xml:space="preserve">8. Creative Strategy and Messaging Framework</w:t>
      </w:r>
    </w:p>
    <w:p>
      <w:pPr>
        <w:spacing w:after="200"/>
        <w:jc w:val="both"/>
      </w:pPr>
      <w:r>
        <w:t xml:space="preserve">Q1 creative strategy centers on three core value propositions: (1) Compliance Without Complexity: automates compliance reporting and audit evidence collection; (2) Cloud Security Unified: single integrated platform for configuration, compliance, workload security, incident response; (3) Operational Simplicity: designed for simplicity, fast deployment, no custom scripting. Message hierarchy prioritizes compliance automation as primary with cloud security and operational simplicity as secondary. Messaging varies by audience: CISO personas emphasize compliance first; VP Security emphasize compliance and operational efficiency; IT operations and DevOps emphasize operational simplicity with compliance support. Industry-specific messaging varies by vertical.</w:t>
      </w:r>
    </w:p>
    <w:p>
      <w:pPr>
        <w:pStyle w:val="Heading1"/>
        <w:spacing w:after="200" w:before="400"/>
      </w:pPr>
      <w:r>
        <w:t xml:space="preserve">9. Content and Offer Strategy</w:t>
      </w:r>
    </w:p>
    <w:p>
      <w:pPr>
        <w:spacing w:after="200"/>
        <w:jc w:val="both"/>
      </w:pPr>
      <w:r>
        <w:t xml:space="preserve">Gated content includes: (1) "DACH CISO Cloud Security Benchmark 2025" (24 pages) benchmarking maturity across 200+ organizations, with 280 estimated leads; (2) "Cloud Compliance Automation Webinar Series" (3-part, 45 minutes each) with 150 estimated leads; (3) "Free Cloud Security Assessment Tool" with 120 estimated leads. Ungated content includes 12 blog posts, 24 LinkedIn articles, daily social media, and quarterly industry reports. Content is aligned with buyer journey stages, addressing awareness, consideration, and decision stages with appropriate messaging and resources.</w:t>
      </w:r>
    </w:p>
    <w:p>
      <w:pPr>
        <w:pStyle w:val="Heading1"/>
        <w:spacing w:after="200" w:before="400"/>
      </w:pPr>
      <w:r>
        <w:t xml:space="preserve">10. Campaign Phasing and Timeline</w:t>
      </w:r>
    </w:p>
    <w:p>
      <w:pPr>
        <w:spacing w:after="200"/>
        <w:jc w:val="both"/>
      </w:pPr>
      <w:r>
        <w:t xml:space="preserve">January campaigns convert Q4 leads and establish Q1 momentum with launch of benchmark and webinar series. Milestones: 350 MQLs, 88 SQLs, EUR 1.2M pipeline. February campaigns accelerate with expanded ABM campaigns and budget increases based on January performance. Milestones: 500 MQLs, 125 SQLs, EUR 1.5M pipeline. March campaigns convert Q1 leads and support sales closure. Milestones: 550 MQLs, 137 SQLs, EUR 1.5M pipeline. Week-by-week timeline details campaign launches, content promotions, and optimization cycles.</w:t>
      </w:r>
    </w:p>
    <w:p>
      <w:pPr>
        <w:pStyle w:val="Heading1"/>
        <w:spacing w:after="200" w:before="400"/>
      </w:pPr>
      <w:r>
        <w:t xml:space="preserve">11. KPI Framework and Reporting</w:t>
      </w:r>
    </w:p>
    <w:p>
      <w:pPr>
        <w:spacing w:after="200"/>
        <w:jc w:val="both"/>
      </w:pPr>
      <w:r>
        <w:t xml:space="preserve">KPI pyramid organizes metrics: business outcomes (ARR, acquisition rate, LTV, Magic Number); driving outcomes (pipeline, pipeline-to-revenue, ACV, sales cycle); tactical metrics (CTR, CPC, cost per MQL/SQL, conversion rate, ROAS, impressions, engagement). Attribution model: 40% first touchpoint, 40% last touchpoint, 20% middle touchpoints. Weekly performance reviews analyze prior week performance; monthly reviews analyze full month; real-time dashboard in Google Data Studio provides 24/7 visibility.</w:t>
      </w:r>
    </w:p>
    <w:p>
      <w:pPr>
        <w:pStyle w:val="Heading1"/>
        <w:spacing w:after="200" w:before="400"/>
      </w:pPr>
      <w:r>
        <w:t xml:space="preserve">12. Risk Assessment</w:t>
      </w:r>
    </w:p>
    <w:p>
      <w:pPr>
        <w:spacing w:after="200"/>
        <w:jc w:val="both"/>
      </w:pPr>
      <w:r>
        <w:t xml:space="preserve">Five material risks identified: Risk 1 (Medium 50%, High impact) - Competitive escalation inflating CPA 15-20% and reducing conversions 10-15%. Risk 2 (Medium 40%, High impact) - Sales cycle elongation extending beyond 3-4 months. Risk 3 (Low 20%, High impact) - Message-market fit misalignment if compliance messaging perceived as table-stakes. Risk 4 (Low 15%, Medium impact) - Technology/data infrastructure failures impacting tracking. Risk 5 (Low 10%, Medium impact) - Regulatory changes requiring messaging updates. Each risk includes mitigation strategies.</w:t>
      </w:r>
    </w:p>
    <w:p>
      <w:pPr>
        <w:pStyle w:val="Heading1"/>
        <w:spacing w:after="200" w:before="400"/>
      </w:pPr>
      <w:r>
        <w:t xml:space="preserve">13. Appendix: Technology Stack and Tracking Setup</w:t>
      </w:r>
    </w:p>
    <w:p>
      <w:pPr>
        <w:spacing w:after="200"/>
        <w:jc w:val="both"/>
      </w:pPr>
      <w:r>
        <w:t xml:space="preserve">Technology stack includes: HubSpot Enterprise (marketing automation), Salesforce Sales Cloud (CRM), bidirectional integration, Google Ads/LinkedIn Campaign Manager/YouTube Ads/Display networks (advertising), content syndication platforms (DemandGen, TopRight, Madison Logic), Google Analytics 4 (website analytics), custom APIs (multi-touch attribution). UTM taxonomy uses consistent naming: utm_source (google_search, linkedin_ads, content_syndication, etc.), utm_medium (cpc, cpm, email, organic), utm_campaign (snake_case campaign names), utm_content (creative variations). Conversion tracking: MQL qualification via gated content download or sufficient website engagement (5+ page views, 2+ visits with 30+ second duration); SQL qualification via sales rep manual assessment; website conversions tracked through GA4 and HubSpot, synchronized with CRM.</w:t>
      </w:r>
    </w:p>
    <w:p>
      <w:pPr>
        <w:pStyle w:val="Heading1"/>
        <w:spacing w:after="200" w:before="400"/>
      </w:pPr>
      <w:r>
        <w:t xml:space="preserve">Conclusion</w:t>
      </w:r>
    </w:p>
    <w:p>
      <w:pPr>
        <w:spacing w:after="200"/>
        <w:jc w:val="both"/>
      </w:pPr>
      <w:r>
        <w:t xml:space="preserve">This comprehensive Q1 2025 campaign brief provides TechNova and marketing leadership with strategic direction, detailed tactical roadmap, performance metrics, and success criteria for disciplined execution of demand generation campaigns. The document is designed as a living planning tool, subject to optimization as real-time performance data emerges. Weekly and monthly performance reviews using the KPI framework enable rapid identification of high-performing tactics and quick pivots when underperformance is detected. The Q1 2025 campaign represents a critical inflection point for TechNova's growth trajectory. By executing disciplined, data-driven marketing across all channels, maintaining rigorous focus on high-conversion tactics, and maintaining transparent communication between marketing and sales teams, TechNova will exceed pipeline generation targets and build a strong foundation for achievement of EUR 28 million ARR objectives in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2026-04-13T11:37:24.793Z</dcterms:created>
  <dcterms:modified xsi:type="dcterms:W3CDTF">2026-04-13T11:37:24.794Z</dcterms:modified>
</cp:coreProperties>
</file>

<file path=docProps/custom.xml><?xml version="1.0" encoding="utf-8"?>
<Properties xmlns="http://schemas.openxmlformats.org/officeDocument/2006/custom-properties" xmlns:vt="http://schemas.openxmlformats.org/officeDocument/2006/docPropsVTypes"/>
</file>