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t xml:space="preserve">NovaTech 2025 Marketing Brief &amp; Q1 2025 Performance Report</w:t>
      </w:r>
    </w:p>
    <w:p>
      <w:pPr>
        <w:spacing w:after="60"/>
        <w:jc w:val="center"/>
      </w:pPr>
      <w:r>
        <w:t xml:space="preserve">Prepared by: Marketing Department</w:t>
      </w:r>
    </w:p>
    <w:p>
      <w:pPr>
        <w:spacing w:after="240"/>
        <w:jc w:val="center"/>
      </w:pPr>
      <w:r>
        <w:t xml:space="preserve">Date: April 13, 2025</w:t>
      </w:r>
    </w:p>
    <w:p>
      <w:pPr>
        <w:spacing w:after="120" w:before="240"/>
      </w:pPr>
      <w:r>
        <w:t xml:space="preserve">EXECUTIVE SUMMARY</w:t>
      </w:r>
    </w:p>
    <w:p>
      <w:pPr>
        <w:pStyle w:val="Normal"/>
        <w:spacing w:after="120" w:line="360"/>
        <w:jc w:val="left"/>
      </w:pPr>
      <w:r>
        <w:t xml:space="preserve">NovaTech stands at an inflection point. With 2024 revenues of €6.2M in Annual Recurring Revenue (ARR), the organization has established a solid foundation in the German-speaking regions and has begun meaningful traction in the UK and Benelux markets. The 2025 strategic imperative is unambiguous: achieve €9.5M ARR, representing 53% year-over-year growth. This level of growth requires not merely incremental improvements to existing marketing execution, but a fundamental scaling of our go-to-market capabilities, channel diversification, and account-based marketing sophistication.</w:t>
      </w:r>
    </w:p>
    <w:p>
      <w:pPr>
        <w:pStyle w:val="Normal"/>
        <w:spacing w:after="120" w:line="360"/>
        <w:jc w:val="left"/>
      </w:pPr>
      <w:r>
        <w:t xml:space="preserve">The €900,000 annual marketing budget allocated for 2025—representing a 28% increase over 2024—reflects leadership confidence in our ability to drive this growth through disciplined, data-informed campaign execution. However, this budget is not a blank check. Every euro must deliver measurable return, whether through direct revenue attribution or through pipeline generation that translates into closed-won deals within the fiscal year. Our 2025 marketing strategy is built on three foundational pillars: (1) maximizing efficiency in proven channels through better targeting and creative optimization; (2) scaling our Account-Based Marketing (ABM) program to systematically penetrate our highest-value prospect accounts; and (3) investing in thought leadership and content assets that establish NovaTech as the go-to provider for German-first, GDPR-compliant project management solutions in the SME segment.</w:t>
      </w:r>
    </w:p>
    <w:p>
      <w:pPr>
        <w:pStyle w:val="Normal"/>
        <w:spacing w:after="120" w:line="360"/>
        <w:jc w:val="left"/>
      </w:pPr>
      <w:r>
        <w:t xml:space="preserve">The 2024 performance review revealed several critical insights that directly inform our 2025 approach. Google Search brand campaigns delivered exceptional returns—a 6.8x ROAS—validating that when prospective customers actively search for NovaTech by name, conversion is highly likely. This suggests that our brand awareness efforts in 2023 and early 2024 created significant demand that our sales team was able to capitalize on. Conversely, generic keyword campaigns, while profitable at 2.9x ROAS, reveal opportunity for improvement through better audience segmentation and intent signaling. LinkedIn ABM showed tremendous promise in the latter half of 2024, achieving 3.4x ROAS in Q3 and Q4, indicating that our Tier 1 target accounts are responsive to highly personalized, multi-touch campaigns. Content syndication, contrary to expectations, underperformed, generating poor-quality leads with minimal conversion velocity. These learnings have shaped our 2025 channel mix and investment allocation.</w:t>
      </w:r>
    </w:p>
    <w:p>
      <w:pPr>
        <w:pStyle w:val="Normal"/>
        <w:spacing w:after="120" w:line="360"/>
        <w:jc w:val="left"/>
      </w:pPr>
      <w:r>
        <w:t xml:space="preserve">Within the context of sustained European economic uncertainty and increasing competitive pressure from well-funded SaaS platforms—particularly Asana, Monday.com, and ClickUp—our 2025 strategy emphasizes NovaTech's unique value proposition: GDPR-native architecture, German language support throughout the platform, enterprise-grade SSO and access controls, and local data residency for all customer information. These capabilities resonate powerfully with our target segment of IT Directors and CTOs at mid-sized enterprises in highly regulated industries such as logistics, consulting, and manufacturing. Our marketing messaging, creative execution, and channel strategy must consistently reinforce these differentiation points.</w:t>
      </w:r>
    </w:p>
    <w:p>
      <w:pPr>
        <w:pStyle w:val="Normal"/>
        <w:spacing w:after="120" w:line="360"/>
        <w:jc w:val="left"/>
      </w:pPr>
      <w:r>
        <w:t xml:space="preserve">The organization has set ambitious but achievable targets for 2025. We project generation of 18,200 Marketing Qualified Leads (MQLs) against our €900,000 budget, representing a target Cost Per Lead (CPL) of approximately €49. Within this, we anticipate capturing 4,650 Sales Qualified Leads (SQLs), implying a 25.5% MQL-to-SQL conversion rate—a modest improvement over 2024's 24% rate. The pipeline generated from these SQLs should total €11.8M in Annual Recurring Revenue opportunity, representing a pipeline-to-target ratio of 1.24x and providing our sales organization with abundant opportunity to hit the €9.5M ARR target. This brief document outlines the integrated strategy, channel tactics, creative approach, and measurement framework that will drive these results.</w:t>
      </w:r>
    </w:p>
    <w:p>
      <w:pPr>
        <w:spacing w:after="120" w:before="240"/>
      </w:pPr>
      <w:r>
        <w:t xml:space="preserve">NOVATECH PRODUCT &amp; COMPETITIVE LANDSCAPE</w:t>
      </w:r>
    </w:p>
    <w:p>
      <w:pPr>
        <w:pStyle w:val="Normal"/>
        <w:spacing w:after="120" w:line="360"/>
        <w:jc w:val="left"/>
      </w:pPr>
      <w:r>
        <w:t xml:space="preserve">NovaTech is a cloud-based project management and workflow automation platform purpose-built for mid-market enterprises in German-speaking regions and increasingly across Northern Europe. The platform comprises four integrated core modules: a visual project management interface with Gantt chart, Kanban board, and timeline views; a rules-based workflow automation engine that eliminates repetitive manual tasks; an advanced reporting and business intelligence suite for real-time visibility into project health and resource utilization; and an integrations hub connecting to over 120 third-party applications including Salesforce, HubSpot, Microsoft Teams, Slack, and Jira.</w:t>
      </w:r>
    </w:p>
    <w:p>
      <w:pPr>
        <w:pStyle w:val="Normal"/>
        <w:spacing w:after="120" w:line="360"/>
        <w:jc w:val="left"/>
      </w:pPr>
      <w:r>
        <w:t xml:space="preserve">The project management module represents the entry point for most customers. Unlike purely visual project collaboration tools, NovaTech's interface is ergonomically optimized for the planning and execution workflows common in manufacturing, logistics, consulting, and professional services firms. The platform includes advanced resource leveling algorithms, dependency management across portfolio-level programs, and multi-currency budget tracking—capabilities essential for enterprises managing complex, interdependent project streams. The user experience has been extensively localized for German-speaking users, with terminology, help documentation, and support channels all native to the market.</w:t>
      </w:r>
    </w:p>
    <w:p>
      <w:pPr>
        <w:pStyle w:val="Normal"/>
        <w:spacing w:after="120" w:line="360"/>
        <w:jc w:val="left"/>
      </w:pPr>
      <w:r>
        <w:t xml:space="preserve">The workflow automation engine is where NovaTech begins to differentiate substantively from its competitors. Rather than requiring custom development or complex third-party integrations, teams can define rule-based automations directly within the platform. For example, a logistics company can configure the system to automatically escalate tasks that exceed budgeted hours to the resource manager, or to trigger approval workflows when a project forecast indicates cost overruns exceeding a defined threshold. These automations reduce manual overhead by an average of 6 hours per week per project manager, according to our customer research—a compelling economic justification for adoption in labor-constrained markets such as Germany and Switzerland.</w:t>
      </w:r>
    </w:p>
    <w:p>
      <w:pPr>
        <w:pStyle w:val="Normal"/>
        <w:spacing w:after="120" w:line="360"/>
        <w:jc w:val="left"/>
      </w:pPr>
      <w:r>
        <w:t xml:space="preserve">The reporting suite was engineered specifically to answer the questions that matter to IT directors and finance leaders. Standard reports include project performance against budget and timeline, resource utilization by skill and team, earned value analysis, portfolio-level health dashboards, and variance tracking. More importantly, the platform enables users to build custom dashboards without writing code, leveraging a flexible query builder that exposes the underlying data model. Organizations can thus create role-specific views—a PMO director seeing portfolio performance, a project manager seeing individual project status, a resource manager seeing team capacity and allocation—all from a single underlying data repository.</w:t>
      </w:r>
    </w:p>
    <w:p>
      <w:pPr>
        <w:pStyle w:val="Normal"/>
        <w:spacing w:after="120" w:line="360"/>
        <w:jc w:val="left"/>
      </w:pPr>
      <w:r>
        <w:t xml:space="preserve">The integrations hub significantly enhances NovaTech's stickiness and reduces switching risk. By offering native, maintained integrations to the applications that enterprises already use—from Salesforce for CRM data, to Slack for notifications, to Microsoft Teams for document collaboration—the platform becomes a central nervous system for organizational workflows. Customers report that comprehensive integration capabilities were a deciding factor in procurement decisions in 57% of cases, making this a material competitive advantage.</w:t>
      </w:r>
    </w:p>
    <w:p>
      <w:pPr>
        <w:pStyle w:val="Normal"/>
        <w:spacing w:after="120" w:line="360"/>
        <w:jc w:val="left"/>
      </w:pPr>
      <w:r>
        <w:t xml:space="preserve">Compared to primary competitors, NovaTech occupies a distinct but overlapping competitive space. Asana, the market leader by revenue and brand recognition, excels at visual collaboration and ease of use for knowledge workers. However, Asana's platform architecture was not originally designed with GDPR compliance and EU data residency as core requirements—these capabilities were added later and require custom enterprise agreements. Asana also maintains limited localization beyond English, making it a harder sell in German-speaking SMEs where local language support influences purchasing decisions. Monday.com offers a more flexible visual interface and has aggressively targeted mid-market segment, but similarly lacks GDPR-native architecture and German localization. ClickUp, the third major competitor, attempts to be an "all-in-one" platform combining project management, CRM, and document collaboration; this breadth often translates to shallower depth in any single capability. Notion, increasingly competitive in the project management space, appeals to younger, digitally-native organizations but lacks enterprise security features and granular access controls required by regulated industries.</w:t>
      </w:r>
    </w:p>
    <w:p>
      <w:pPr>
        <w:pStyle w:val="Normal"/>
        <w:spacing w:after="120" w:line="360"/>
        <w:jc w:val="left"/>
      </w:pPr>
      <w:r>
        <w:t xml:space="preserve">NovaTech's differentiation rests on four pillars. First, GDPR-native architecture: data residency options in Frankfurt, Dublin, and Brussels ensure that customer information never leaves EU jurisdiction, a material advantage in conversations with regulated entities and public sector organizations. Second, German language-first design: everything from the platform UI to documentation to support is natively German, eliminating the friction of translating enterprise SaaS designed in English. Third, enterprise security and access controls: fine-grained permission models, SSO integration, audit logging, and IP whitelisting address concerns of IT directors responsible for data protection. Fourth, specialized templates and workflows for vertical markets: logistics, consulting, and manufacturing verticals have industry-specific configuration modules that accelerate time-to-value. These capabilities collectively address pain points that mid-sized, highly regulated organizations consistently identify in procurement evaluations.</w:t>
      </w:r>
    </w:p>
    <w:p>
      <w:pPr>
        <w:pStyle w:val="Normal"/>
        <w:spacing w:after="120" w:line="360"/>
        <w:jc w:val="left"/>
      </w:pPr>
      <w:r>
        <w:t xml:space="preserve">The addressable market opportunity for NovaTech in 2025 is substantial. Across Germany, Austria, and Switzerland, there are approximately 18,000 enterprises with 50–500 employees. Market research conducted in Q4 2024 indicates that 67% of organizations in the manufacturing, logistics, and consulting sectors currently lack modern project management tools, relying instead on spreadsheets, email, and legacy on-premise systems. Within this universe, we estimate 4,200 organizations have immediate, acute need for a new platform—representing our "serviceable obtainable market." At an average contract value (ACV) of €18,000, this universe represents €75.6M in annual attainable revenue. NovaTech's target of €9.5M ARR in 2025 represents a 12.6% market share capture from this serviceable obtainable market, a reasonable ambition given our product differentiation and go-to-market execution capabilities.</w:t>
      </w:r>
    </w:p>
    <w:p>
      <w:pPr>
        <w:spacing w:after="120" w:before="240"/>
      </w:pPr>
      <w:r>
        <w:t xml:space="preserve">2024 PERFORMANCE REVIEW &amp; STRATEGIC LEARNINGS</w:t>
      </w:r>
    </w:p>
    <w:p>
      <w:pPr>
        <w:pStyle w:val="Normal"/>
        <w:spacing w:after="120" w:line="360"/>
        <w:jc w:val="left"/>
      </w:pPr>
      <w:r>
        <w:t xml:space="preserve">2024 was a year of consolidation and optimization for NovaTech's marketing organization. We entered the year with €700,000 in annual budget and a scattered channel portfolio that lacked clear strategic prioritization. Throughout the year, we invested in marketing infrastructure—implementing Hubspot as our central CRM and marketing automation platform, establishing formal SLAs between sales and marketing, and creating a unified reporting dashboard for channel-level performance tracking. These foundational investments paid dividends in the second half of the year, enabling us to scale winning campaigns and quickly diagnose and adjust underperforming channels.</w:t>
      </w:r>
    </w:p>
    <w:p>
      <w:pPr>
        <w:pStyle w:val="Normal"/>
        <w:spacing w:after="120" w:line="360"/>
        <w:jc w:val="left"/>
      </w:pPr>
      <w:r>
        <w:t xml:space="preserve">Google Search brand campaigns were the standout success story of 2024. By focusing on high-intent branded keyword searches—terms including "NovaTech," "NovaTech pricing," "NovaTech integrations," and similar—we captured customers already in active purchasing mode. The brand campaign spent €185,000 throughout the year and generated 847 leads, of which 186 converted to customers, yielding a 6.8x ROAS. The cost per acquisition (CPA) for brand campaigns was €55, our lowest across all channels. The exceptional performance of brand search reflects the strength of our existing brand reputation in the DACH region and suggests that our 2023 thought leadership investments had successfully driven awareness among our target personas. A key insight is that brand search quality is highly consistent—we achieve similar CAC and conversion rates regardless of monthly budget fluctuation. This consistency led us to classify brand search as a "base demand" channel in our 2025 strategy, investing in it year-round at a stable baseline level to capture all available demand.</w:t>
      </w:r>
    </w:p>
    <w:p>
      <w:pPr>
        <w:pStyle w:val="Normal"/>
        <w:spacing w:after="120" w:line="360"/>
        <w:jc w:val="left"/>
      </w:pPr>
      <w:r>
        <w:t xml:space="preserve">Google Generic keyword campaigns demonstrated solid but unspectacular results in 2024. Campaigns targeting generic terms such as "project management software," "workflow automation platform," and "team collaboration tools" spent €210,000 and generated 1,456 leads. Of these leads, 247 ultimately converted to customers. The resulting ROAS was 2.9x, with a CPA of €89. Performance of generic campaigns exhibited substantial variance by keyword segment. Keywords in the "workflow automation" category achieved 3.6x ROAS, while "team collaboration" keywords achieved only 2.1x. Additionally, we observed that performance varied significantly by geography: German-language generic searches converted at 3.2x ROAS, while identical campaigns in English converted at only 2.4x ROAS. This geographic variance informed a key 2025 decision to increase budget allocation for German-language search campaigns and reduce English-language spend. We also identified several high-performing keywords related to specific use cases—"project management for logistics," "construction project management software"—which will receive expanded budget in 2025.</w:t>
      </w:r>
    </w:p>
    <w:p>
      <w:pPr>
        <w:pStyle w:val="Normal"/>
        <w:spacing w:after="120" w:line="360"/>
        <w:jc w:val="left"/>
      </w:pPr>
      <w:r>
        <w:t xml:space="preserve">LinkedIn Account-Based Marketing campaigns exceeded expectations in Q3 and Q4 of 2024, after a slow start in Q1 and Q2. This channel required a significant learning curve. Our initial ABM approach was too broad, attempting to target 8,000 accounts across all industries. Conversion performance was correspondingly poor—generating leads at €115 CPA with a MQL-to-SQL conversion rate of just 18%. In August 2024, we dramatically revised the ABM strategy, reducing target account list to 1,200 organizations within logistics, manufacturing, and consulting verticals, and creating tightly tailored creative and messaging for each industry vertical. Results improved substantially: by Q4, we were generating leads at €72 CPA with a 31% MQL-to-SQL conversion rate, ultimately achieving 3.4x ROAS. This dramatic mid-year pivot surfaced critical insights about the importance of account selectivity and vertical-specific messaging in ABM execution. Our 2025 ABM strategy builds directly on these learnings, with substantially more granular account segmentation and vertical-focused creative development.</w:t>
      </w:r>
    </w:p>
    <w:p>
      <w:pPr>
        <w:pStyle w:val="Normal"/>
        <w:spacing w:after="120" w:line="360"/>
        <w:jc w:val="left"/>
      </w:pPr>
      <w:r>
        <w:t xml:space="preserve">Competitor conquest campaigns targeting Asana customers delivered strong results. We invested €95,000 in campaigns specifically targeting individuals who had engaged with Asana's marketing content or who matched the profile of existing Asana customers. These campaigns achieved 3.1x ROAS and a CPA of €68. The high performance reflects the fact that prospects already using competitive products have validated need for the category and require lower levels of awareness-building. However, competitor campaigns targeting Monday.com produced poor results, with a CPA of €142 and only 1.8x ROAS. Analysis suggests this underperformance reflects Monday.com's focus on ease-of-use and visual collaboration—attributes on which customers self-select based on preference rather than pain point severity. Attempting to "poach" customers who have already chosen a competitor emphasizing different values proved ineffective. We will maintain Asana competitor campaigns in 2025 but deprioritize Monday.com, instead allocating budget to conquest of spreadsheet users and legacy system customers.</w:t>
      </w:r>
    </w:p>
    <w:p>
      <w:pPr>
        <w:pStyle w:val="Normal"/>
        <w:spacing w:after="120" w:line="360"/>
        <w:jc w:val="left"/>
      </w:pPr>
      <w:r>
        <w:t xml:space="preserve">Content syndication underperformed materially in 2024. We invested €60,000 with content syndication partners including Leadiro and similar platforms, distributing gated premium content such as "The 2024 European Project Management Trends Report" and "Workflow Automation ROI Calculator" to opted-in prospect audiences. The channel generated 780 leads at a CPL of €77. However, the quality of these leads was poor: only 89 converted to SQL (11.4% conversion rate), and just 12 ultimately converted to customers (1.5%). The low quality likely reflects the fact that syndication audiences are primarily interested in downloading content rather than engaging with product solutions. We identified that the most valuable leads in this channel were those who engaged with multiple content assets over time, suggesting that syndication works best as a nurture vehicle rather than a top-of-funnel lead source. In 2025, we will de-prioritize broad content syndication in favor of more targeted, intent-driven content partnerships and will use syndication primarily for bottom-funnel nurture sequences.</w:t>
      </w:r>
    </w:p>
    <w:p>
      <w:pPr>
        <w:pStyle w:val="Normal"/>
        <w:spacing w:after="120" w:line="360"/>
        <w:jc w:val="left"/>
      </w:pPr>
      <w:r>
        <w:t xml:space="preserve">Email nurture campaigns, while not a primary demand generation channel, showed strong returns when executed with proper segmentation. Email campaigns sent to engaged prospects who had previously requested product demos achieved 8.2% click-through rates and 2.7% conversion to SQL—substantially higher than industry benchmarks. This finding reinforces the importance of active list segmentation and behavioral trigger-based email cadences. Our 2025 strategy includes expanded investment in marketing automation and email nurture to convert existing leads into pipeline more efficiently.</w:t>
      </w:r>
    </w:p>
    <w:p>
      <w:pPr>
        <w:pStyle w:val="Normal"/>
        <w:spacing w:after="120" w:line="360"/>
        <w:jc w:val="left"/>
      </w:pPr>
      <w:r>
        <w:t xml:space="preserve">Overall, 2024's marketing performance generated €4.2M in attributed pipeline, supporting the realization of €3.1M in revenue (reflecting deals that closed within 12 months of initial marketing touchpoint). This pipeline-to-revenue ratio of 1.35x is healthy and suggests our pipeline generation is aligned with reasonable closing rates. However, the financial efficiency by channel varied dramatically. With blended 2024 ROAS of 2.4x across all channels, we recognize that substantial opportunity exists to improve our overall channel mix and execution. The 2025 strategy is designed to achieve this improvement by expanding investment in highest-ROI channels while maintaining base-level investment in foundational channels that may have longer sales cycles but contribute to overall revenue generation.</w:t>
      </w:r>
    </w:p>
    <w:p>
      <w:pPr>
        <w:spacing w:after="120" w:before="240"/>
      </w:pPr>
      <w:r>
        <w:t xml:space="preserve">2025 ICP &amp; BUYER PERSONA UPDATE</w:t>
      </w:r>
    </w:p>
    <w:p>
      <w:pPr>
        <w:pStyle w:val="Normal"/>
        <w:spacing w:after="120" w:line="360"/>
        <w:jc w:val="left"/>
      </w:pPr>
      <w:r>
        <w:t xml:space="preserve">The Ideal Customer Profile (ICP) for NovaTech in 2025 remains rooted in mid-market enterprises in the DACH region and Northern Europe with 50–500 employees, but we have sharpened our understanding of which verticals and organizational profiles drive highest customer lifetime value and fastest sales cycles. Analysis of our 2024 customer base revealed that customers in manufacturing, logistics, and consulting verticals have 42% higher contract values (averaging €24,600) and 28% faster sales cycles (averaging 73 days from first conversation to signature, versus 101 days for other verticals) compared to organizations in other sectors. These three verticals now represent our primary vertical focus for 2025 marketing and sales efforts. Additionally, we have identified that organizations currently running legacy project management systems (including SAP Project System, Maconomy, and on-premise Jira) or manual spreadsheet-based approaches are 3.2x more likely to convert within a 90-day window compared to organizations already using modern SaaS project management solutions. These findings have led us to segment our messaging and targeting to emphasize the migration value proposition to organizations trapped in legacy systems.</w:t>
      </w:r>
    </w:p>
    <w:p>
      <w:pPr>
        <w:pStyle w:val="Normal"/>
        <w:spacing w:after="120" w:line="360"/>
        <w:jc w:val="left"/>
      </w:pPr>
      <w:r>
        <w:t xml:space="preserve">We have developed three detailed buyer personas for 2025 that capture the diversity within our target market. The first persona is Claudia Brenner, an IT Director at a 200-person logistics company headquartered in Berlin. Claudia is 38 years old, has been with the company for 7 years, and reports to the Chief Operating Officer. Her primary responsibility is ensuring that the organization's technology infrastructure supports operational efficiency and regulatory compliance. Her pain points are acute: the company recently implemented a hybrid work policy following pandemic disruptions, and the existing project management processes—based on email and spreadsheets—have become unmanageable. Project status visibility is poor, team communication is fragmented, and executives lack real-time visibility into project-level financial performance. Claudia has evaluated Asana and Monday.com but rejected both because of GDPR concerns and the difficulty of implementing German-language workflows. She is evaluating NovaTech against Smartsheet and Microsoft Project Online. Her decision-making process involves consultation with her team leads (2–3 individuals), the CFO (regarding budget and ROI), and the COO (regarding alignment with operational strategy). The typical sales cycle is 90–110 days from discovery to contract signature. Claudia prefers demonstrations of how other logistics companies have implemented NovaTech and is particularly interested in the workflow automation capabilities that can reduce manual data entry and validation.</w:t>
      </w:r>
    </w:p>
    <w:p>
      <w:pPr>
        <w:pStyle w:val="Normal"/>
        <w:spacing w:after="120" w:line="360"/>
        <w:jc w:val="left"/>
      </w:pPr>
      <w:r>
        <w:t xml:space="preserve">The second persona is James O'Sullivan, Chief Technology Officer at a 350-person UK PropTech startup headquartered in London. James is 35 years old, has been in the CTO role for 18 months, and was brought into the organization specifically to professionalize its technology and operations infrastructure. The startup has experienced rapid growth—from 80 to 350 employees in the past 18 months—and legacy processes are breaking under scale. Development teams lack visibility into project dependencies and status, customers report delivery delays, and the organization is repeatedly missing internal deadlines. James has mandated that all development and delivery teams adopt a unified project management platform by Q2 2025. He is evaluating Jira (for its development team specialization), ClickUp (for its flexibility), and NovaTech (for its balance of capability and usability). James requires integration with the company's existing GitHub environment, Salesforce for customer management, and Slack for team communication. He is also concerned about data governance and audit trail requirements imposed by the startup's recent Series B investors. The sales cycle for James is typically 60–75 days due to his authority to make technology decisions unilaterally; however, he requires robust product demonstrations and references from similar PropTech companies. James is motivated by product capability and integration breadth rather than price, and is willing to commit to multi-year enterprise agreements if the platform solves his organizational challenges.</w:t>
      </w:r>
    </w:p>
    <w:p>
      <w:pPr>
        <w:pStyle w:val="Normal"/>
        <w:spacing w:after="120" w:line="360"/>
        <w:jc w:val="left"/>
      </w:pPr>
      <w:r>
        <w:t xml:space="preserve">The third persona is Erik van der Berg, Head of Operations at a 120-person management consulting firm headquartered in Amsterdam. Erik is 42 years old and has been in the operations role for 4 years. The consulting firm has grown organically and remains highly leveraged on founder relationships; however, rapid growth is straining manual operational processes. Project costing, resource allocation, and timekeeping are fragmented across multiple spreadsheets and email threads. Erik is responsible for improving operational efficiency and is seeking a platform that can centralize project information, automate time and expense tracking, and provide real-time visibility to engagement economics. He has never purchased a SaaS project management platform previously; his reference point is Deltek Vantagepoint, an expensive, complex on-premise system deployed at a previous employer. Erik is risk-averse, prefers solutions recommended by trusted peers, and requires extensive change management support during implementation. His decision-making process involves consultation with the CFO (regarding budget) and the Managing Partner (regarding strategic fit). The sales cycle is typically 110–140 days. Erik is motivated by demonstrated ROI and risk mitigation; he will pay premium pricing for white-glove onboarding and training support.</w:t>
      </w:r>
    </w:p>
    <w:p>
      <w:pPr>
        <w:pStyle w:val="Normal"/>
        <w:spacing w:after="120" w:line="360"/>
        <w:jc w:val="left"/>
      </w:pPr>
      <w:r>
        <w:t xml:space="preserve">These three personas inform our creative development, messaging strategy, channel selection, and sales enablement approach throughout 2025. Each persona will receive tailored content, customized product demonstrations, and vertical-specific case studies reinforcing why NovaTech is optimized for their particular organizational context. By maintaining focus on these specific personas rather than attempting to appeal universally, we expect to achieve higher conversion rates and faster sales cycles.</w:t>
      </w:r>
    </w:p>
    <w:p>
      <w:pPr>
        <w:spacing w:after="120" w:before="240"/>
      </w:pPr>
      <w:r>
        <w:t xml:space="preserve">2025 CHANNEL STRATEGY &amp; BUDGET ALLOCATION</w:t>
      </w:r>
    </w:p>
    <w:p>
      <w:pPr>
        <w:pStyle w:val="Normal"/>
        <w:spacing w:after="120" w:line="360"/>
        <w:jc w:val="left"/>
      </w:pPr>
      <w:r>
        <w:t xml:space="preserve">The 2025 channel strategy is built on a full-funnel framework that addresses customer needs at each stage of the awareness-to-consideration-to-decision journey. We recognize that different customers engage with marketing at different stages of their buying process. Some discover NovaTech through organic search or digital advertising when they are actively researching project management solutions; others enter our funnel through thought leadership content or virtual events before they have fully committed to a purchasing timeline. Our channel strategy recognizes this diversity and allocates budget across awareness, consideration, and conversion-focused channels in proportion to the market opportunity and competitive dynamics in each stage.</w:t>
      </w:r>
    </w:p>
    <w:p>
      <w:pPr>
        <w:pStyle w:val="Normal"/>
        <w:spacing w:after="120" w:line="360"/>
        <w:jc w:val="left"/>
      </w:pPr>
      <w:r>
        <w:t xml:space="preserve">Google Search comprises the largest single channel investment in 2025, with €260,000 allocated across brand, generic, and competitor campaigns. Brand search (€80,000) targets customers actively searching for NovaTech or closely related terms. This is the highest-ROI channel based on 2024 performance and represents "base demand" that we must capture. Generic search (€125,000) targets customers in active evaluation mode for project management solutions broadly. Based on 2024 learnings, we are increasing investment in German-language generic keywords and reducing English-language spend. Competitor campaigns (€55,000) focus on conquest of existing Asana customers and spreadsheet-trapped organizations, based on demonstrated strong performance in Asana conquest campaigns. We are explicitly de-emphasizing Monday.com conquest based on poor 2024 performance.</w:t>
      </w:r>
    </w:p>
    <w:p>
      <w:pPr>
        <w:pStyle w:val="Normal"/>
        <w:spacing w:after="120" w:line="360"/>
        <w:jc w:val="left"/>
      </w:pPr>
      <w:r>
        <w:t xml:space="preserve">LinkedIn represents the second largest channel investment, with €310,000 allocated across Account-Based Marketing (ABM), lead generation forms, and sponsored content. LinkedIn ABM (€180,000) is our highest-priority growth channel for 2025. We will manage two tiers of ABM accounts: Tier 1 (€120,000) targeting 250 strategic accounts that we have identified as ideal-fit prospects with demonstrated buying signals; and Tier 2 (€60,000) targeting approximately 2,500 secondary-fit accounts through programmatic account-based advertising. LinkedIn Lead Generation Forms (€80,000) will capture prospects who engage with our content but are not yet in a formal ABM sequence, converting them into CRM records for nurture. LinkedIn Sponsored Content (€50,000) will focus on thought leadership assets designed to build NovaTech's reputation as industry experts in German SaaS and workplace collaboration solutions.</w:t>
      </w:r>
    </w:p>
    <w:p>
      <w:pPr>
        <w:pStyle w:val="Normal"/>
        <w:spacing w:after="120" w:line="360"/>
        <w:jc w:val="left"/>
      </w:pPr>
      <w:r>
        <w:t xml:space="preserve">YouTube and video content receive €125,000 of investment in 2025, reflecting the growing importance of video in B2B decision-making. Research indicates that 79% of business decision-makers watch product demo videos before contacting vendor sales teams. Our YouTube strategy includes short-form product demo videos (30–60 seconds), customer case study videos (2–3 minutes), and longer-form educational content (8–12 minutes) addressing specific use case problems. We will also invest in bumper ads and in-stream ads driving traffic to YouTube product demonstration content.</w:t>
      </w:r>
    </w:p>
    <w:p>
      <w:pPr>
        <w:pStyle w:val="Normal"/>
        <w:spacing w:after="120" w:line="360"/>
        <w:jc w:val="left"/>
      </w:pPr>
      <w:r>
        <w:t xml:space="preserve">Display and retargeting campaigns receive €115,000, focused on remarketing to prospects who have visited our website, downloaded content, or engaged with previous campaigns. Display campaigns will emphasize case studies, ROI calculators, and customer testimonials designed to move prospects from awareness to consideration phase.</w:t>
      </w:r>
    </w:p>
    <w:p>
      <w:pPr>
        <w:pStyle w:val="Normal"/>
        <w:spacing w:after="120" w:line="360"/>
        <w:jc w:val="left"/>
      </w:pPr>
      <w:r>
        <w:t xml:space="preserve">Content partnerships and thought leadership receive €90,000, allocated across industry analyst relations (Forrester, Gartner briefings), targeted content syndication to high-intent audiences, and co-marketing partnerships with complementary solutions. This investment focuses on establishing NovaTech as a category leader in German-first, GDPR-native project management solutions.</w:t>
      </w:r>
    </w:p>
    <w:p>
      <w:pPr>
        <w:pStyle w:val="Normal"/>
        <w:spacing w:after="120" w:line="360"/>
        <w:jc w:val="left"/>
      </w:pPr>
      <w:r>
        <w:t xml:space="preserve">Events and experiential marketing receive €50,000, focused on sponsoring industry conferences relevant to our verticals (logistics associations, management consulting forums) and hosting the "DACH Work Management Summit," a virtual event bringing together practitioners and experts to discuss organizational change and project management best practices in German-speaking regions.</w:t>
      </w:r>
    </w:p>
    <w:p>
      <w:pPr>
        <w:pStyle w:val="Normal"/>
        <w:spacing w:after="120" w:line="360"/>
        <w:jc w:val="left"/>
      </w:pPr>
      <w:r>
        <w:t xml:space="preserve">The remaining €50,000 is allocated as a contingency reserve to enable rapid response to emerging opportunities (for example, unexpected competitive threats requiring increased spend) or to accelerate channels showing exceptional performance mid-year.</w:t>
      </w:r>
    </w:p>
    <w:tbl>
      <w:tblPr>
        <w:tblW w:type="pct" w:w="100%"/>
        <w:tblBorders>
          <w:top w:val="single" w:color="999999" w:sz="6"/>
          <w:left w:val="single" w:color="999999" w:sz="6"/>
          <w:bottom w:val="single" w:color="999999" w:sz="6"/>
          <w:right w:val="single" w:color="999999" w:sz="6"/>
          <w:insideH w:val="single" w:color="CCCCCC" w:sz="6"/>
          <w:insideV w:val="single" w:color="CCCCCC" w:sz="6"/>
        </w:tblBorders>
      </w:tblPr>
      <w:tblGrid>
        <w:gridCol w:w="100"/>
        <w:gridCol w:w="100"/>
        <w:gridCol w:w="100"/>
        <w:gridCol w:w="100"/>
        <w:gridCol w:w="100"/>
        <w:gridCol w:w="100"/>
      </w:tblGrid>
      <w:tr>
        <w:tc>
          <w:tcPr>
            <w:shd w:color="E8E8E8" w:val="clear"/>
            <w:vAlign w:val="center"/>
          </w:tcPr>
          <w:p>
            <w:r>
              <w:t xml:space="preserve">Channel</w:t>
            </w:r>
          </w:p>
        </w:tc>
        <w:tc>
          <w:tcPr>
            <w:shd w:color="E8E8E8" w:val="clear"/>
            <w:vAlign w:val="center"/>
          </w:tcPr>
          <w:p>
            <w:r>
              <w:t xml:space="preserve">Q1 Budget</w:t>
            </w:r>
          </w:p>
        </w:tc>
        <w:tc>
          <w:tcPr>
            <w:shd w:color="E8E8E8" w:val="clear"/>
            <w:vAlign w:val="center"/>
          </w:tcPr>
          <w:p>
            <w:r>
              <w:t xml:space="preserve">Q2 Budget</w:t>
            </w:r>
          </w:p>
        </w:tc>
        <w:tc>
          <w:tcPr>
            <w:shd w:color="E8E8E8" w:val="clear"/>
            <w:vAlign w:val="center"/>
          </w:tcPr>
          <w:p>
            <w:r>
              <w:t xml:space="preserve">Q3 Budget</w:t>
            </w:r>
          </w:p>
        </w:tc>
        <w:tc>
          <w:tcPr>
            <w:shd w:color="E8E8E8" w:val="clear"/>
            <w:vAlign w:val="center"/>
          </w:tcPr>
          <w:p>
            <w:r>
              <w:t xml:space="preserve">Q4 Budget</w:t>
            </w:r>
          </w:p>
        </w:tc>
        <w:tc>
          <w:tcPr>
            <w:shd w:color="E8E8E8" w:val="clear"/>
            <w:vAlign w:val="center"/>
          </w:tcPr>
          <w:p>
            <w:r>
              <w:t xml:space="preserve">Annual Total</w:t>
            </w:r>
          </w:p>
        </w:tc>
      </w:tr>
      <w:tr>
        <w:tc>
          <w:tcPr>
            <w:vAlign w:val="center"/>
          </w:tcPr>
          <w:p>
            <w:r>
              <w:t xml:space="preserve">Google Search</w:t>
            </w:r>
          </w:p>
        </w:tc>
        <w:tc>
          <w:tcPr>
            <w:vAlign w:val="center"/>
          </w:tcPr>
          <w:p>
            <w:r>
              <w:t xml:space="preserve">€65,000</w:t>
            </w:r>
          </w:p>
        </w:tc>
        <w:tc>
          <w:tcPr>
            <w:vAlign w:val="center"/>
          </w:tcPr>
          <w:p>
            <w:r>
              <w:t xml:space="preserve">€65,000</w:t>
            </w:r>
          </w:p>
        </w:tc>
        <w:tc>
          <w:tcPr>
            <w:vAlign w:val="center"/>
          </w:tcPr>
          <w:p>
            <w:r>
              <w:t xml:space="preserve">€65,000</w:t>
            </w:r>
          </w:p>
        </w:tc>
        <w:tc>
          <w:tcPr>
            <w:vAlign w:val="center"/>
          </w:tcPr>
          <w:p>
            <w:r>
              <w:t xml:space="preserve">€65,000</w:t>
            </w:r>
          </w:p>
        </w:tc>
        <w:tc>
          <w:tcPr>
            <w:vAlign w:val="center"/>
          </w:tcPr>
          <w:p>
            <w:r>
              <w:t xml:space="preserve">€260,000</w:t>
            </w:r>
          </w:p>
        </w:tc>
      </w:tr>
      <w:tr>
        <w:tc>
          <w:tcPr>
            <w:vAlign w:val="center"/>
          </w:tcPr>
          <w:p>
            <w:r>
              <w:t xml:space="preserve">LinkedIn ABM &amp; Forms</w:t>
            </w:r>
          </w:p>
        </w:tc>
        <w:tc>
          <w:tcPr>
            <w:vAlign w:val="center"/>
          </w:tcPr>
          <w:p>
            <w:r>
              <w:t xml:space="preserve">€73,000</w:t>
            </w:r>
          </w:p>
        </w:tc>
        <w:tc>
          <w:tcPr>
            <w:vAlign w:val="center"/>
          </w:tcPr>
          <w:p>
            <w:r>
              <w:t xml:space="preserve">€78,000</w:t>
            </w:r>
          </w:p>
        </w:tc>
        <w:tc>
          <w:tcPr>
            <w:vAlign w:val="center"/>
          </w:tcPr>
          <w:p>
            <w:r>
              <w:t xml:space="preserve">€82,000</w:t>
            </w:r>
          </w:p>
        </w:tc>
        <w:tc>
          <w:tcPr>
            <w:vAlign w:val="center"/>
          </w:tcPr>
          <w:p>
            <w:r>
              <w:t xml:space="preserve">€77,000</w:t>
            </w:r>
          </w:p>
        </w:tc>
        <w:tc>
          <w:tcPr>
            <w:vAlign w:val="center"/>
          </w:tcPr>
          <w:p>
            <w:r>
              <w:t xml:space="preserve">€310,000</w:t>
            </w:r>
          </w:p>
        </w:tc>
      </w:tr>
      <w:tr>
        <w:tc>
          <w:tcPr>
            <w:vAlign w:val="center"/>
          </w:tcPr>
          <w:p>
            <w:r>
              <w:t xml:space="preserve">YouTube &amp; Video</w:t>
            </w:r>
          </w:p>
        </w:tc>
        <w:tc>
          <w:tcPr>
            <w:vAlign w:val="center"/>
          </w:tcPr>
          <w:p>
            <w:r>
              <w:t xml:space="preserve">€28,000</w:t>
            </w:r>
          </w:p>
        </w:tc>
        <w:tc>
          <w:tcPr>
            <w:vAlign w:val="center"/>
          </w:tcPr>
          <w:p>
            <w:r>
              <w:t xml:space="preserve">€31,000</w:t>
            </w:r>
          </w:p>
        </w:tc>
        <w:tc>
          <w:tcPr>
            <w:vAlign w:val="center"/>
          </w:tcPr>
          <w:p>
            <w:r>
              <w:t xml:space="preserve">€34,000</w:t>
            </w:r>
          </w:p>
        </w:tc>
        <w:tc>
          <w:tcPr>
            <w:vAlign w:val="center"/>
          </w:tcPr>
          <w:p>
            <w:r>
              <w:t xml:space="preserve">€32,000</w:t>
            </w:r>
          </w:p>
        </w:tc>
        <w:tc>
          <w:tcPr>
            <w:vAlign w:val="center"/>
          </w:tcPr>
          <w:p>
            <w:r>
              <w:t xml:space="preserve">€125,000</w:t>
            </w:r>
          </w:p>
        </w:tc>
      </w:tr>
      <w:tr>
        <w:tc>
          <w:tcPr>
            <w:vAlign w:val="center"/>
          </w:tcPr>
          <w:p>
            <w:r>
              <w:t xml:space="preserve">Display Retargeting</w:t>
            </w:r>
          </w:p>
        </w:tc>
        <w:tc>
          <w:tcPr>
            <w:vAlign w:val="center"/>
          </w:tcPr>
          <w:p>
            <w:r>
              <w:t xml:space="preserve">€29,000</w:t>
            </w:r>
          </w:p>
        </w:tc>
        <w:tc>
          <w:tcPr>
            <w:vAlign w:val="center"/>
          </w:tcPr>
          <w:p>
            <w:r>
              <w:t xml:space="preserve">€29,000</w:t>
            </w:r>
          </w:p>
        </w:tc>
        <w:tc>
          <w:tcPr>
            <w:vAlign w:val="center"/>
          </w:tcPr>
          <w:p>
            <w:r>
              <w:t xml:space="preserve">€29,000</w:t>
            </w:r>
          </w:p>
        </w:tc>
        <w:tc>
          <w:tcPr>
            <w:vAlign w:val="center"/>
          </w:tcPr>
          <w:p>
            <w:r>
              <w:t xml:space="preserve">€28,000</w:t>
            </w:r>
          </w:p>
        </w:tc>
        <w:tc>
          <w:tcPr>
            <w:vAlign w:val="center"/>
          </w:tcPr>
          <w:p>
            <w:r>
              <w:t xml:space="preserve">€115,000</w:t>
            </w:r>
          </w:p>
        </w:tc>
      </w:tr>
      <w:tr>
        <w:tc>
          <w:tcPr>
            <w:vAlign w:val="center"/>
          </w:tcPr>
          <w:p>
            <w:r>
              <w:t xml:space="preserve">Content &amp; Syndication</w:t>
            </w:r>
          </w:p>
        </w:tc>
        <w:tc>
          <w:tcPr>
            <w:vAlign w:val="center"/>
          </w:tcPr>
          <w:p>
            <w:r>
              <w:t xml:space="preserve">€20,000</w:t>
            </w:r>
          </w:p>
        </w:tc>
        <w:tc>
          <w:tcPr>
            <w:vAlign w:val="center"/>
          </w:tcPr>
          <w:p>
            <w:r>
              <w:t xml:space="preserve">€23,000</w:t>
            </w:r>
          </w:p>
        </w:tc>
        <w:tc>
          <w:tcPr>
            <w:vAlign w:val="center"/>
          </w:tcPr>
          <w:p>
            <w:r>
              <w:t xml:space="preserve">€23,000</w:t>
            </w:r>
          </w:p>
        </w:tc>
        <w:tc>
          <w:tcPr>
            <w:vAlign w:val="center"/>
          </w:tcPr>
          <w:p>
            <w:r>
              <w:t xml:space="preserve">€24,000</w:t>
            </w:r>
          </w:p>
        </w:tc>
        <w:tc>
          <w:tcPr>
            <w:vAlign w:val="center"/>
          </w:tcPr>
          <w:p>
            <w:r>
              <w:t xml:space="preserve">€90,000</w:t>
            </w:r>
          </w:p>
        </w:tc>
      </w:tr>
      <w:tr>
        <w:tc>
          <w:tcPr>
            <w:vAlign w:val="center"/>
          </w:tcPr>
          <w:p>
            <w:r>
              <w:t xml:space="preserve">Events &amp; Sponsorships</w:t>
            </w:r>
          </w:p>
        </w:tc>
        <w:tc>
          <w:tcPr>
            <w:vAlign w:val="center"/>
          </w:tcPr>
          <w:p>
            <w:r>
              <w:t xml:space="preserve">€12,000</w:t>
            </w:r>
          </w:p>
        </w:tc>
        <w:tc>
          <w:tcPr>
            <w:vAlign w:val="center"/>
          </w:tcPr>
          <w:p>
            <w:r>
              <w:t xml:space="preserve">€12,000</w:t>
            </w:r>
          </w:p>
        </w:tc>
        <w:tc>
          <w:tcPr>
            <w:vAlign w:val="center"/>
          </w:tcPr>
          <w:p>
            <w:r>
              <w:t xml:space="preserve">€13,000</w:t>
            </w:r>
          </w:p>
        </w:tc>
        <w:tc>
          <w:tcPr>
            <w:vAlign w:val="center"/>
          </w:tcPr>
          <w:p>
            <w:r>
              <w:t xml:space="preserve">€13,000</w:t>
            </w:r>
          </w:p>
        </w:tc>
        <w:tc>
          <w:tcPr>
            <w:vAlign w:val="center"/>
          </w:tcPr>
          <w:p>
            <w:r>
              <w:t xml:space="preserve">€50,000</w:t>
            </w:r>
          </w:p>
        </w:tc>
      </w:tr>
      <w:tr>
        <w:tc>
          <w:tcPr>
            <w:vAlign w:val="center"/>
          </w:tcPr>
          <w:p>
            <w:r>
              <w:t xml:space="preserve">Contingency Reserve</w:t>
            </w:r>
          </w:p>
        </w:tc>
        <w:tc>
          <w:tcPr>
            <w:vAlign w:val="center"/>
          </w:tcPr>
          <w:p>
            <w:r>
              <w:t xml:space="preserve">€13,000</w:t>
            </w:r>
          </w:p>
        </w:tc>
        <w:tc>
          <w:tcPr>
            <w:vAlign w:val="center"/>
          </w:tcPr>
          <w:p>
            <w:r>
              <w:t xml:space="preserve">€12,000</w:t>
            </w:r>
          </w:p>
        </w:tc>
        <w:tc>
          <w:tcPr>
            <w:vAlign w:val="center"/>
          </w:tcPr>
          <w:p>
            <w:r>
              <w:t xml:space="preserve">€12,000</w:t>
            </w:r>
          </w:p>
        </w:tc>
        <w:tc>
          <w:tcPr>
            <w:vAlign w:val="center"/>
          </w:tcPr>
          <w:p>
            <w:r>
              <w:t xml:space="preserve">€13,000</w:t>
            </w:r>
          </w:p>
        </w:tc>
        <w:tc>
          <w:tcPr>
            <w:vAlign w:val="center"/>
          </w:tcPr>
          <w:p>
            <w:r>
              <w:t xml:space="preserve">€50,000</w:t>
            </w:r>
          </w:p>
        </w:tc>
      </w:tr>
      <w:tr>
        <w:tc>
          <w:tcPr>
            <w:vAlign w:val="center"/>
          </w:tcPr>
          <w:p>
            <w:r>
              <w:t xml:space="preserve">Total</w:t>
            </w:r>
          </w:p>
        </w:tc>
        <w:tc>
          <w:tcPr>
            <w:vAlign w:val="center"/>
          </w:tcPr>
          <w:p>
            <w:r>
              <w:t xml:space="preserve">€240,000</w:t>
            </w:r>
          </w:p>
        </w:tc>
        <w:tc>
          <w:tcPr>
            <w:vAlign w:val="center"/>
          </w:tcPr>
          <w:p>
            <w:r>
              <w:t xml:space="preserve">€250,000</w:t>
            </w:r>
          </w:p>
        </w:tc>
        <w:tc>
          <w:tcPr>
            <w:vAlign w:val="center"/>
          </w:tcPr>
          <w:p>
            <w:r>
              <w:t xml:space="preserve">€258,000</w:t>
            </w:r>
          </w:p>
        </w:tc>
        <w:tc>
          <w:tcPr>
            <w:vAlign w:val="center"/>
          </w:tcPr>
          <w:p>
            <w:r>
              <w:t xml:space="preserve">€252,000</w:t>
            </w:r>
          </w:p>
        </w:tc>
        <w:tc>
          <w:tcPr>
            <w:vAlign w:val="center"/>
          </w:tcPr>
          <w:p>
            <w:r>
              <w:t xml:space="preserve">€900,000</w:t>
            </w:r>
          </w:p>
        </w:tc>
      </w:tr>
    </w:tbl>
    <w:p>
      <w:pPr>
        <w:pStyle w:val="Normal"/>
        <w:spacing w:after="120" w:line="360"/>
        <w:jc w:val="left"/>
      </w:pPr>
      <w:r>
        <w:t xml:space="preserve">Note that budget allocation varies seasonally. Q2 and Q3 receive higher allocations to capitalize on spring buying behavior and back-to-school operational changes that often trigger software procurement. Q4 is slightly lower due to holiday slowdown in decision-making, though Q4 still maintains substantial investment to capture year-end budget allocations that many organizations need to deploy before fiscal year-end.</w:t>
      </w:r>
    </w:p>
    <w:p>
      <w:pPr>
        <w:pStyle w:val="Normal"/>
        <w:spacing w:after="120" w:line="360"/>
        <w:jc w:val="left"/>
      </w:pPr>
      <w:r>
        <w:t xml:space="preserve">Across all channels, we project the following volume targets: 18,200 total Marketing Qualified Leads (MQLs), representing a blended Cost Per Lead of approximately €49. Within this, we anticipate 4,650 Sales Qualified Leads (SQLs), representing a 25.5% MQL-to-SQL conversion rate and an implied Cost Per SQL of €193. These targets reflect modest improvement over 2024 conversion rates, achievable through better targeting precision, improved lead scoring, and more aligned sales-marketing workflows.</w:t>
      </w:r>
    </w:p>
    <w:p>
      <w:pPr>
        <w:spacing w:after="120" w:before="240"/>
      </w:pPr>
      <w:r>
        <w:t xml:space="preserve">ACCOUNT-BASED MARKETING PROGRAM DESIGN FOR 2025</w:t>
      </w:r>
    </w:p>
    <w:p>
      <w:pPr>
        <w:pStyle w:val="Normal"/>
        <w:spacing w:after="120" w:line="360"/>
        <w:jc w:val="left"/>
      </w:pPr>
      <w:r>
        <w:t xml:space="preserve">Account-Based Marketing (ABM) has emerged as the highest-potential growth lever for NovaTech in 2025, based on exceptional Q3-Q4 2024 performance. ABM is fundamentally a different marketing approach than traditional lead generation. Rather than casting a wide net to capture as many leads as possible, ABM focuses intensive, personalized marketing efforts on a carefully curated set of target accounts that match our ICP and offer the highest potential deal value and strategic fit. This approach requires deep coordination between marketing and sales, extensive use of first-party and third-party data to inform account selection and insight, and creative development tailored to specific account circumstances. When executed effectively, ABM dramatically increases conversion rates, deal size, and sales cycle efficiency.</w:t>
      </w:r>
    </w:p>
    <w:p>
      <w:pPr>
        <w:pStyle w:val="Normal"/>
        <w:spacing w:after="120" w:line="360"/>
        <w:jc w:val="left"/>
      </w:pPr>
      <w:r>
        <w:t xml:space="preserve">We have structured our 2025 ABM program into two tiers. Tier 1 ABM focuses on 250 strategic "named accounts" that we have identified as ideal-fit prospects with demonstrated urgency and buying signals. These accounts typically meet multiple criteria: appropriate company size (50–500 employees) and industry vertical (manufacturing, logistics, consulting), demonstrated recent technology investments or organizational changes suggesting project management software procurement may be imminent, and organizational structure including clear IT decision-maker and budget authority. We have identified and prioritized these 250 accounts through a combination of first-party data (companies that have visited our website or engaged with our content, but have not yet become customers) and third-party intent data from Bombora, which identifies companies showing high levels of research activity around keywords including "project management software," "workflow automation," and related terms. For each Tier 1 account, we have assigned a dedicated marketing resource within our ABM team to develop an account strategy, coordinate with the assigned sales rep, and orchestrate a multi-touch campaign across channels including LinkedIn ads, email, direct mail, and virtual events.</w:t>
      </w:r>
    </w:p>
    <w:p>
      <w:pPr>
        <w:pStyle w:val="Normal"/>
        <w:spacing w:after="120" w:line="360"/>
        <w:jc w:val="left"/>
      </w:pPr>
      <w:r>
        <w:t xml:space="preserve">The Tier 1 ABM campaign is structured as a 16-week engagement sequence for each account. The first phase (weeks 1–4) focuses on account research, identifying key economic buyers and influencers within each organization, and developing targeted insights relevant to that specific account. For a logistics company, for instance, our research might identify that the company recently opened a new distribution center or implemented a corporate hybrid work policy—both organizational changes that typically trigger software evaluation. We then develop customized email and LinkedIn messaging referencing these account-specific triggers. The second phase (weeks 5–10) executes the coordinated multi-touch campaign, including LinkedIn ads featuring account-specific creative, email sequences from our Head of Sales or Customer Success VP (rather than generic email templates), and virtual outreach by the assigned ABM team member. The goal of this phase is to secure an initial conversation with identified decision-maker(s). The third phase (weeks 11–16) focuses on nurture and advancement, including product demonstration invitations, customer case study sharing, and opportunities to attend thought leadership webinars featuring industry peers facing similar challenges.</w:t>
      </w:r>
    </w:p>
    <w:p>
      <w:pPr>
        <w:pStyle w:val="Normal"/>
        <w:spacing w:after="120" w:line="360"/>
        <w:jc w:val="left"/>
      </w:pPr>
      <w:r>
        <w:t xml:space="preserve">Tier 2 ABM applies programmatic account-based advertising to a larger cohort of approximately 2,500 secondary-fit accounts that match our ICP but lack the demonstrated intent signals or strategic importance to warrant individual account planning. Tier 2 ABM uses LinkedIn's Matched Audiences and LinkedIn Audience Builder to target these accounts with dynamic creative that rotates based on company size, industry, and recent website activity. Rather than assigning a dedicated human resource to each Tier 2 account, we use marketing automation to deliver personalized email sequences triggered by account-level activities such as website visits, content downloads, or email engagement.</w:t>
      </w:r>
    </w:p>
    <w:p>
      <w:pPr>
        <w:pStyle w:val="Normal"/>
        <w:spacing w:after="120" w:line="360"/>
        <w:jc w:val="left"/>
      </w:pPr>
      <w:r>
        <w:t xml:space="preserve">A critical component of ABM execution is formal sales-marketing alignment through documented SLAs. We have established the following ABM SLA: (1) within 48 hours of a Tier 1 prospect responding to marketing outreach or requesting a conversation, the assigned sales rep will contact the prospect; (2) all Tier 1 account meetings attended by sales will be followed by shared meeting notes and a jointly-defined next step within 24 hours; (3) if a Tier 1 account remains unresponsive for 12 weeks despite repeated marketing outreach, the account will be paused for 4 weeks and then re-engaged with refreshed messaging; (4) sales will provide monthly feedback on lead quality, allowing marketing to refine targeting and messaging in real-time. This SLA ensures that marketing's work in identifying and engaging target accounts is immediately reinforced by sales follow-up, eliminating the scenario where marketing generates good-quality conversations but sales fails to capitalize because of competing priorities.</w:t>
      </w:r>
    </w:p>
    <w:p>
      <w:pPr>
        <w:pStyle w:val="Normal"/>
        <w:spacing w:after="120" w:line="360"/>
        <w:jc w:val="left"/>
      </w:pPr>
      <w:r>
        <w:t xml:space="preserve">ABM success metrics differ from traditional demand generation metrics. Rather than measuring cost-per-lead and lead volume, we measure account-level engagement rate (percentage of target accounts showing any engagement with our campaigns within a 90-day period), account pipeline generation (total ARR value of opportunities created with target accounts), and account conversion rate (percentage of engaged accounts ultimately converting to customers). Our 2025 targets for Tier 1 ABM are: 65% engagement rate (170 of 250 accounts showing some engagement), €3.6M in pipeline generation, and 12% conversion rate (30 of 250 accounts converting to customers within 12 months). For Tier 2 ABM, we target 15% engagement rate with programmatic campaigns, €1.8M in pipeline generation, and 2% conversion rate. Combined, Tier 1 and Tier 2 ABM should generate €5.4M in pipeline (pipeline-to-target ratio of 0.57x for ABM portion, but representing high-quality, high-probability opportunities that convert at above-average rates).</w:t>
      </w:r>
    </w:p>
    <w:p>
      <w:pPr>
        <w:spacing w:after="120" w:before="240"/>
      </w:pPr>
      <w:r>
        <w:t xml:space="preserve">CONTENT STRATEGY &amp; SEO INTEGRATION</w:t>
      </w:r>
    </w:p>
    <w:p>
      <w:pPr>
        <w:pStyle w:val="Normal"/>
        <w:spacing w:after="120" w:line="360"/>
        <w:jc w:val="left"/>
      </w:pPr>
      <w:r>
        <w:t xml:space="preserve">Content strategy for 2025 is designed to address three distinct objectives: (1) drive organic search visibility by targeting high-intent, high-volume keywords relevant to project management and workflow automation; (2) establish thought leadership and category authority, positioning NovaTech as the go-to expert for GDPR-native, German-first project management solutions; and (3) support the sales process by providing prospects with comparative information, use case guidance, and technical documentation needed to evaluate NovaTech against alternatives.</w:t>
      </w:r>
    </w:p>
    <w:p>
      <w:pPr>
        <w:pStyle w:val="Normal"/>
        <w:spacing w:after="120" w:line="360"/>
        <w:jc w:val="left"/>
      </w:pPr>
      <w:r>
        <w:t xml:space="preserve">Our SEO strategy targets 40 primary keywords across high-intent ("best project management software," "project management software for logistics"), educational ("how to manage distributed teams"), and transactional ("NovaTech pricing," "NovaTech integrations") categories. We will publish a minimum of 8 blog posts per quarter (32 annually) targeting these keywords, with an average post length of 2,500 words. Each blog post will be optimized for search engines through keyword research, semantic SEO, and proper internal linking to relevant product pages and case studies. Additionally, we will invest in updating and expanding our existing website content, including comprehensive product documentation, vertical-specific use case pages (one each for logistics, manufacturing, and consulting), and a dedicated GDPR and compliance resource center addressing European regulatory requirements. Our SEO investment is budgeted at €18,000 annually for freelance writers and content optimization resources.</w:t>
      </w:r>
    </w:p>
    <w:p>
      <w:pPr>
        <w:pStyle w:val="Normal"/>
        <w:spacing w:after="120" w:line="360"/>
        <w:jc w:val="left"/>
      </w:pPr>
      <w:r>
        <w:t xml:space="preserve">Thought leadership content will be distributed quarterly in the form of original research reports. The "Q1 2025 European Project Management Trends Report" will survey 200+ IT directors and project managers across DACH region regarding project management practices, pain points, and software adoption priorities. This research will be promoted through LinkedIn, content syndication, and industry analyst relationships, driving both awareness and lead generation. Similar reports will be published in Q2, Q3, and Q4, covering topics such as workforce planning challenges, post-pandemic organizational change, and digital transformation in regulated industries.</w:t>
      </w:r>
    </w:p>
    <w:p>
      <w:pPr>
        <w:pStyle w:val="Normal"/>
        <w:spacing w:after="120" w:line="360"/>
        <w:jc w:val="left"/>
      </w:pPr>
      <w:r>
        <w:t xml:space="preserve">Webinar and virtual event strategy centers on the "DACH Work Management Summit," an annual virtual conference to be held in September 2025, featuring keynote presentations from CIOs and researchers, deep-dive breakout sessions on workflow automation and digital transformation, and networking opportunities for practitioners. This event will attract 1,200–1,500 participants, positioning NovaTech as a central convener in the European work management community. Additionally, we will execute quarterly webinar series covering specific topics such as "Resource Leveling Best Practices," "Workflow Automation ROI," and "GDPR Compliance in Project Management Platforms."</w:t>
      </w:r>
    </w:p>
    <w:p>
      <w:pPr>
        <w:pStyle w:val="Normal"/>
        <w:spacing w:after="120" w:line="360"/>
        <w:jc w:val="left"/>
      </w:pPr>
      <w:r>
        <w:t xml:space="preserve">Content distribution will leverage both organic and paid channels. Blog posts and research reports will be distributed through our website, industry analyst platforms (Gartner, Forrester), and targeted content syndication to high-intent audiences. Webinars will be promoted through LinkedIn, email, industry partnerships, and paid advertising. Customer case studies will be prominently featured on our website and will be used in ABM campaigns to provide social proof to target accounts. By integrating content across organic search, paid promotion, and direct sales enablement, we expect content to contribute approximately 18% of annual pipeline generation, up from 12% in 2024.</w:t>
      </w:r>
    </w:p>
    <w:p>
      <w:pPr>
        <w:spacing w:after="120" w:before="240"/>
      </w:pPr>
      <w:r>
        <w:t xml:space="preserve">MEASUREMENT FRAMEWORK &amp; ATTRIBUTION</w:t>
      </w:r>
    </w:p>
    <w:p>
      <w:pPr>
        <w:pStyle w:val="Normal"/>
        <w:spacing w:after="120" w:line="360"/>
        <w:jc w:val="left"/>
      </w:pPr>
      <w:r>
        <w:t xml:space="preserve">Rigorous measurement is essential to understanding marketing ROI and making informed budget allocation decisions. Our 2025 measurement framework is built on HubSpot, our central CRM platform, which serves as the system of record for all leads, opportunities, and customers. All marketing touchpoints—website visits, content downloads, email engagement, advertising impressions and clicks, event attendance—are logged in HubSpot, creating a complete customer journey record for each lead and opportunity.</w:t>
      </w:r>
    </w:p>
    <w:p>
      <w:pPr>
        <w:pStyle w:val="Normal"/>
        <w:spacing w:after="120" w:line="360"/>
        <w:jc w:val="left"/>
      </w:pPr>
      <w:r>
        <w:t xml:space="preserve">We employ a data-driven attribution model that distributes credit for customer acquisition across multiple marketing touchpoints. Under this model, the first touch (the initial marketing channel or campaign that introduced a prospect to NovaTech) receives 40% credit, the last touch (the final marketing interaction before a sales conversation) receives 40% credit, and intermediate touches receive 20% credit distributed evenly. This model acknowledges that customer acquisition is rarely the result of a single touchpoint, and recognizes the importance of both awareness creation and conversion-focused campaigns in the customer journey. Each month, we run attribution reporting that allocates closed-won revenue (revenue recognized from customers acquired in that month) to the contributing marketing channels and campaigns.</w:t>
      </w:r>
    </w:p>
    <w:p>
      <w:pPr>
        <w:pStyle w:val="Normal"/>
        <w:spacing w:after="120" w:line="360"/>
        <w:jc w:val="left"/>
      </w:pPr>
      <w:r>
        <w:t xml:space="preserve">Key performance indicators (KPIs) are organized in a hierarchy, with high-level business objectives at the top and granular channel-level metrics at the bottom. The primary business objective is attaining €9.5M ARR by December 31, 2025. This translates to a pipeline generation objective of €11.8M (based on 80% expected close rate for marketed pipeline). At the marketing level, this translates to MQL and SQL targets, and channel-level targets for spend, volume, cost-per-lead, and return-on-ad-spend. The following KPI hierarchy guides our measurement: Level 1 (Business Outcome): €9.5M ARR; Level 2 (Pipeline): €11.8M pipeline generated; Level 3 (Sales): 4,650 SQLs, 25.5% MQL-to-SQL conversion; Level 2 (Marketing): 18,200 MQLs at €49 CPL, 3.2x blended ROAS; Level 4 (Channel): Individual channel targets for spend, MQL volume, ROAS, and CPA</w:t>
      </w:r>
    </w:p>
    <w:p>
      <w:pPr>
        <w:pStyle w:val="Normal"/>
        <w:spacing w:after="120" w:line="360"/>
        <w:jc w:val="left"/>
      </w:pPr>
      <w:r>
        <w:t xml:space="preserve">We conduct formal quarterly business reviews with sales leadership to assess progress toward targets, understand pipeline win rates and close rates by marketing source, and make mid-course adjustments to channel strategy or messaging. Monthly reporting dashboards track ROAS, CPA, MQL and SQL volume, and conversion rates by channel, enabling rapid identification of performance variance. Any channel showing material underperformance—defined as failing to meet ROAS targets by more than 20% for two consecutive months—triggers a structured diagnostic process to identify root cause (is it declining CTR? Rising cost-per-click? Lower conversion quality?) and determine whether budget should be reallocated to higher-performing channels or whether the underperforming channel should be optimized (e.g., through creative refresh or audience tightening).</w:t>
      </w:r>
    </w:p>
    <w:p>
      <w:pPr>
        <w:spacing w:after="120" w:before="240"/>
      </w:pPr>
      <w:r>
        <w:t xml:space="preserve">RISK FACTORS &amp; MITIGATION STRATEGIES</w:t>
      </w:r>
    </w:p>
    <w:p>
      <w:pPr>
        <w:pStyle w:val="Normal"/>
        <w:spacing w:after="120" w:line="360"/>
        <w:jc w:val="left"/>
      </w:pPr>
      <w:r>
        <w:t xml:space="preserve">While our 2025 strategy is grounded in rigorous analysis of 2024 performance and market research, we acknowledge that execution will face significant headwinds. We have identified four primary risk factors and have developed mitigation strategies for each.</w:t>
      </w:r>
    </w:p>
    <w:p>
      <w:pPr>
        <w:pStyle w:val="Normal"/>
        <w:spacing w:after="120" w:line="360"/>
        <w:jc w:val="left"/>
      </w:pPr>
      <w:r>
        <w:t xml:space="preserve">Risk 1: Rising LinkedIn Advertising Costs. LinkedIn cost-per-click (CPC) has risen 35% year-over-year globally, driven by increased competition for limited inventory and LinkedIn's ongoing improvements to their targeting algorithms. If this trend accelerates, our projected ROAS and CPA targets may become unachievable even with optimal campaign execution. Mitigation: (a) diversifying our advertising investment away from LinkedIn toward YouTube and search, where CPCs have remained relatively stable; (b) investing in organic LinkedIn content strategy and thought leadership to build audience and reduce reliance on paid promotion; (c) shifting a portion of our Tier 2 ABM budget from LinkedIn ads to email-based sequences, which have negligible incremental cost.</w:t>
      </w:r>
    </w:p>
    <w:p>
      <w:pPr>
        <w:pStyle w:val="Normal"/>
        <w:spacing w:after="120" w:line="360"/>
        <w:jc w:val="left"/>
      </w:pPr>
      <w:r>
        <w:t xml:space="preserve">Risk 2: Increased Competitive Spending. Our primary competitors—Asana, Monday.com, and ClickUp—are all well-funded and have demonstrated willingness to increase marketing spend to capture market share. If competitive marketing intensity increases substantially, we may see cost-per-lead rise across channels due to increased bidding competition. Mitigation: (a) sharpening our ICP definition and targeting to compete for the customer segments where our product differentiation is strongest (GDPR compliance, German language, enterprise security) rather than attempting to compete across all segments; (b) investing in brand building and thought leadership to create demand pull that reduces our reliance on competitive bidding; (c) maintaining agility to quickly reallocate budget from lower-ROI channels to emerging high-ROI opportunities.</w:t>
      </w:r>
    </w:p>
    <w:p>
      <w:pPr>
        <w:pStyle w:val="Normal"/>
        <w:spacing w:after="120" w:line="360"/>
        <w:jc w:val="left"/>
      </w:pPr>
      <w:r>
        <w:t xml:space="preserve">Risk 3: GDPR and European Ad Targeting Restrictions. Ongoing regulatory developments regarding data privacy and cookie-based advertising targeting create uncertainty for digital marketing execution in Europe. If European regulators further restrict how platforms can target advertising, our ability to reach target audiences at scale may be compromised. Mitigation: (a) investing in first-party data collection and marketing automation to reduce reliance on platform-provided audience targeting; (b) developing account-based marketing approaches that rely on human research and direct outreach rather than automated targeting; (c) maintaining long-term relationships with industry analysts, publisher partners, and event organizers through sponsorship and partnership, creating alternative demand generation channels less vulnerable to ad targeting restrictions.</w:t>
      </w:r>
    </w:p>
    <w:p>
      <w:pPr>
        <w:pStyle w:val="Normal"/>
        <w:spacing w:after="120" w:line="360"/>
        <w:jc w:val="left"/>
      </w:pPr>
      <w:r>
        <w:t xml:space="preserve">Risk 4: Economic Downturn Impacting SME IT Budgets. While European economic forecasts for 2025 are generally positive, downside scenarios remain plausible. In an economic contraction, mid-market enterprises may delay software procurement, reducing demand for new project management platforms. Mitigation: (a) developing strong ROI case studies and tools (ROI calculator, payback period analysis) emphasizing how NovaTech saves money through automation and efficiency gains; (b) adjusting messaging to emphasize cost-saving and efficiency benefits rather than transformation and growth; (c) preparing alternative sales approaches emphasizing maintenance and optimization of existing customer deployments, which may be more resilient than new customer acquisition in downturn scenarios.</w:t>
      </w:r>
    </w:p>
    <w:p>
      <w:pPr>
        <w:pStyle w:val="Normal"/>
        <w:spacing w:after="120" w:line="360"/>
        <w:jc w:val="left"/>
      </w:pPr>
      <w:r>
        <w:t xml:space="preserve">By maintaining disciplined focus on execution, remaining agile in response to market changes, and investing in sustainable competitive advantages such as brand and thought leadership, we believe we can mitigate these risks and achieve our 2025 growth targets.</w:t>
      </w:r>
    </w:p>
    <w:r>
      <w:br w:type="page"/>
    </w:r>
    <w:p>
      <w:pPr>
        <w:spacing w:after="120" w:before="240"/>
      </w:pPr>
      <w:r>
        <w:t xml:space="preserve">Q1 2025 CAMPAIGN PERFORMANCE REPORT</w:t>
      </w:r>
    </w:p>
    <w:p>
      <w:pPr>
        <w:spacing w:after="120" w:before="240"/>
      </w:pPr>
      <w:r>
        <w:t xml:space="preserve">Q1 EXECUTIVE SUMMARY</w:t>
      </w:r>
    </w:p>
    <w:p>
      <w:pPr>
        <w:pStyle w:val="Normal"/>
        <w:spacing w:after="120" w:line="360"/>
        <w:jc w:val="left"/>
      </w:pPr>
      <w:r>
        <w:t xml:space="preserve">The first quarter of 2025 exceeded expectations across virtually all marketing performance metrics. Against a Q1 budget of €225,000, the marketing organization executed 47 distinct campaigns across 7 primary channels, generated 1,523 Marketing Qualified Leads (MQLs), and achieved a blended Return on Ad Spend (ROAS) of 3.2x—surpassing our annual target of 2.9x by 110 basis points. Cost Per Lead (CPL) averaged €148 per MQL, representing a 2% improvement over our target of €151. Cost Per Acquisition (CPA) for customers acquired in Q1 was €82 per customer, exceeding our annual target of €88. Pipeline generated in Q1—measured as total ARR value of opportunities created from Q1 marketing sources—totaled €5.1M, exceeding our quarterly target of €4.7M by 8.5%.</w:t>
      </w:r>
    </w:p>
    <w:p>
      <w:pPr>
        <w:pStyle w:val="Normal"/>
        <w:spacing w:after="120" w:line="360"/>
        <w:jc w:val="left"/>
      </w:pPr>
      <w:r>
        <w:t xml:space="preserve">These headline results mask important nuances in channel performance, creative effectiveness, and market dynamics that require careful analysis to inform Q2 strategy. Google Search brand campaigns continued their exceptional performance from 2024, generating leads at €38 CPA with a 7.2x ROAS. Conversely, LinkedIn Lead Generation Forms underperformed, generating low-quality leads with poor SQL conversion rates. The company's first ABM campaign against Tier 1 target accounts delivered 387 meetings in Q1—more than double our internal projection—suggesting substantial pent-up demand from our target ICP. Creative performance analysis revealed that educational content addressing "common project management mistakes" resonated significantly more strongly than product feature-focused messaging, pointing toward a strategic shift in creative direction for Q2 and beyond.</w:t>
      </w:r>
    </w:p>
    <w:p>
      <w:pPr>
        <w:pStyle w:val="Normal"/>
        <w:spacing w:after="120" w:line="360"/>
        <w:jc w:val="left"/>
      </w:pPr>
      <w:r>
        <w:t xml:space="preserve">Most importantly, Q1 results reveal that the market opportunity for NovaTech in 2025 may be substantially larger than our original planning projections. Conversion rates have been higher than historical benchmarks, sales cycle velocity has accelerated compared to 2024, and deal sizes have increased modestly. These favorable market dynamics suggest we should consider accelerating spending and headcount expansion in Q2 to capitalize on what appears to be an exceptional market window.</w:t>
      </w:r>
    </w:p>
    <w:p>
      <w:pPr>
        <w:pStyle w:val="Normal"/>
        <w:spacing w:after="120" w:line="360"/>
        <w:jc w:val="left"/>
      </w:pPr>
      <w:r>
        <w:t xml:space="preserve">This report provides a detailed analysis of Q1 performance by channel, creative effectiveness, ABM program results, and pipeline generation. The report concludes with specific recommendations for Q2 strategy and budget reallocation to maximize return on investment.</w:t>
      </w:r>
    </w:p>
    <w:p>
      <w:pPr>
        <w:spacing w:after="120" w:before="240"/>
      </w:pPr>
      <w:r>
        <w:t xml:space="preserve">Q1 CHANNEL PERFORMANCE DEEP-DIVE</w:t>
      </w:r>
    </w:p>
    <w:p>
      <w:pPr>
        <w:pStyle w:val="Normal"/>
        <w:spacing w:after="120" w:line="360"/>
        <w:jc w:val="left"/>
      </w:pPr>
      <w:r>
        <w:t xml:space="preserve">Google Search Brand campaigns represented our highest-priority investment in Q1, with €20,000 of the total €65,000 Google Search budget allocated. These campaigns target customers actively searching for NovaTech by name, including branded keywords such as "NovaTech," "NovaTech pricing," "NovaTech login," and similar variations. Q1 brand search generated 523 clicks, converting to 218 leads and ultimately 47 customers. The resulting 7.2x ROAS represents exceptional performance and a 6% improvement over our 2024 average of 6.8x ROAS for brand campaigns. Cost Per Lead averaged €38 and Cost Per Acquisition (CPA) averaged €37—among the best performance across any channel. The consistency and strength of brand search performance throughout Q1 validates our strategic decision to classify this as a "base demand" channel and maintain stable year-round investment. Our analysis reveals that brand search is highly efficient because searchers have already completed significant research and have self-selected into the purchasing funnel. These users are 3.8x more likely to convert to customer within 90 days compared to users from other channels. Additionally, brand search shows exceptional durability—the quality remains constant regardless of monthly spend fluctuation, suggesting no saturation point within reasonable budget ranges.</w:t>
      </w:r>
    </w:p>
    <w:p>
      <w:pPr>
        <w:pStyle w:val="Normal"/>
        <w:spacing w:after="120" w:line="360"/>
        <w:jc w:val="left"/>
      </w:pPr>
      <w:r>
        <w:t xml:space="preserve">The exceptional performance of brand search in Q1 reflects multiple underlying factors. First, our 2024 thought leadership investment (research reports, speaking engagements, analyst relations) appears to have substantially elevated brand awareness among our target segment. Second, the product marketing team released significantly improved website copy and demo capabilities in December 2024, making the user experience for brand search visitors substantially more conversion-optimized than in prior years. Third, a major competitor announced a pricing increase in January 2025, potentially driving some customer searches toward alternative solutions including NovaTech. Regardless of the underlying causes, the data clearly indicate that brand search represents essentially "free money"—demand that exists regardless of our marketing efforts, and that we must capture before it flows to competitors. We recommend maintaining brand search at stable or slightly increased investment levels throughout 2025. Additionally, we have identified opportunities to improve brand search performance further through improved landing page sequencing, faster checkout experience, and enhanced product trial onboarding that may drive CPA down another 5-10%.</w:t>
      </w:r>
    </w:p>
    <w:p>
      <w:pPr>
        <w:pStyle w:val="Normal"/>
        <w:spacing w:after="120" w:line="360"/>
        <w:jc w:val="left"/>
      </w:pPr>
      <w:r>
        <w:t xml:space="preserve">Google Search Generic campaigns targeting broad category keywords such as "project management software," "workflow automation," and "team collaboration tools" received €30,000 in Q1 investment. These campaigns generated 1,247 clicks, converting to 392 leads and ultimately 61 customers. ROAS was 3.1x, with average CPA of €82. This performance represents a significant improvement over 2024 generic search performance (2.9x ROAS, €89 CPA), driven by improved audience segmentation and increased focus on high-intent keywords. Importantly, geographic performance varied substantially. German-language generic keywords achieved 3.7x ROAS, while English-language campaigns achieved 2.6x ROAS. This performance differential validates our 2025 strategy to increase investment in German-language campaigns. Additionally, generic campaigns targeting logistics and manufacturing companies (through geographic and vertical targeting) achieved 4.1x ROAS, compared to 2.9x for campaigns lacking vertical focus. This vertical-specific variance creates a clear optimization opportunity: by progressively shifting budget from non-vertical keywords toward vertical-specific variations, we can achieve overall generic search ROAS improvement of 0.4–0.6x.</w:t>
      </w:r>
    </w:p>
    <w:p>
      <w:pPr>
        <w:pStyle w:val="Normal"/>
        <w:spacing w:after="120" w:line="360"/>
        <w:jc w:val="left"/>
      </w:pPr>
      <w:r>
        <w:t xml:space="preserve">Analysis of Q1 generic search performance revealed that several keyword segments are substantially underperforming and warrant strategic reallocation. Campaigns targeting "team collaboration software" achieved only 1.8x ROAS, likely because these searches indicate users searching for visual collaboration and chat functionality rather than project management and workflow automation. Conversely, campaigns targeting "project portfolio management" and "resource management software" achieved 4.4x and 4.2x ROAS respectively, indicating strong market demand for these more specialized use cases. Our Q2 strategy will include budget reallocation away from broad, low-intent keywords toward more specialized, high-intent alternatives. Additionally, we identified a long-tail opportunity: searches for "project management for [specific industry]" (e.g., "project management for logistics," "project management for manufacturing") achieved exceptionally high conversion rates (5.8x ROAS). We will substantially increase investment in these vertical-specific long-tail keywords in Q2. This strategic reallocation is expected to improve overall generic search ROAS from 3.1x in Q1 to 3.8x in Q2 without additional budget investment.</w:t>
      </w:r>
    </w:p>
    <w:p>
      <w:pPr>
        <w:pStyle w:val="Normal"/>
        <w:spacing w:after="120" w:line="360"/>
        <w:jc w:val="left"/>
      </w:pPr>
      <w:r>
        <w:t xml:space="preserve">Google Competitor campaigns targeting existing Asana customers received €15,000 in Q1 investment. These campaigns, which display NovaTech ads to users who have previously visited Asana's website or engaged with Asana marketing content, generated 185 clicks, 52 leads, and 8 customers. ROAS was 2.8x with CPA of €94. This performance is solid but below our historical 3.1x average for Asana conquest campaigns, likely reflecting increased competitive intensity (Asana has increased their brand marketing investment in Q1) and lower remaining low-hanging fruit for conquest. The Monday.com competitor campaign, allocated just €5,000 in Q1 as a test, generated 31 clicks, 6 leads, and 0 customers—confirming our 2024 learnings that Monday.com customers are poor conversion targets. This continued underperformance across multiple campaigns and quarters suggests that Monday.com customers are attracted to that platform primarily for user experience and visual design factors rather than pain point severity, and that competitive messaging is unlikely to be persuasive. We recommend discontinuing Monday.com competitor campaigns in Q2 and reallocating that budget to Asana conquest, which continues to show strong performance despite marginal deterioration. We will also explore spreadsheet conquest campaigns, targeting organizations currently using Excel or Google Sheets for project tracking, as initial Q1 tests showed 4.2x ROAS, substantially above generic search performance.</w:t>
      </w:r>
    </w:p>
    <w:p>
      <w:pPr>
        <w:pStyle w:val="Normal"/>
        <w:spacing w:after="120" w:line="360"/>
        <w:jc w:val="left"/>
      </w:pPr>
      <w:r>
        <w:t xml:space="preserve">LinkedIn Account-Based Marketing (ABM) Tier 1 campaigns targeting our 250 strategic named accounts received €60,000 in Q1 investment and delivered exceptional results. These campaigns, featuring account-specific creative, personalized email sequences, and coordinated outreach from our ABM team, generated 1,182 clicks on LinkedIn ads, 287 engaged accounts (accounts showing at least one engagement with our campaigns), and 387 initial meetings scheduled. The conversion rate from engaged account to meeting was 134%, exceeding 100% because many accounts generated multiple meetings with different stakeholders. ROAS is difficult to calculate for ABM campaigns using traditional metrics because individual lead conversion rates are not the primary success metric; instead, account-level engagement and meeting generation are primary objectives. However, if we impute a value of €100 per meeting generated (reflecting the sales-readiness of ABM-sourced meetings relative to raw leads), the implied return is approximately 6.5x. Tier 1 ABM represents the highest-potential growth engine for NovaTech in 2025, and the Q1 results—387 meetings from 250 target accounts—far exceed our internal forecasts (we had projected 250 meetings). This exceptional performance reveals that our Tier 1 account selection was highly accurate and that market demand for project management solutions is stronger than anticipated.</w:t>
      </w:r>
    </w:p>
    <w:p>
      <w:pPr>
        <w:pStyle w:val="Normal"/>
        <w:spacing w:after="120" w:line="360"/>
        <w:jc w:val="left"/>
      </w:pPr>
      <w:r>
        <w:t xml:space="preserve">Tier 1 ABM success reflects several organizational factors. First, we identified the right set of 250 accounts through combination of first-party website behavior data and third-party intent data. Companies that engaged with our Q1 campaigns were on average 48% larger than our overall prospect base (median 180 employees vs. 120 for non-ABM leads), indicating successful targeting of our high-value ICP. Second, our marketing and sales teams established strong working relationships and weekly coordination rhythms, enabling rapid translation of marketing engagement into sales conversations. Sales reps reported that ABM-sourced conversations were substantially more efficient than traditional inbound leads, with better-informed prospects and faster advancement through discovery phase. Third, the specialized creative and messaging developed for ABM—highlighting account-specific capabilities and customer use cases—resonated more effectively than generic product messaging. The strong Q1 Tier 1 ABM performance suggests we should consider expanding the program significantly in Q2 and beyond, potentially increasing the target account list from 250 to 400–500 accounts. We estimate that each incremental 100 accounts could generate 150+ additional meetings and 25-30 additional customers annually, representing an incremental €450K-€540K in ARR.</w:t>
      </w:r>
    </w:p>
    <w:p>
      <w:pPr>
        <w:pStyle w:val="Normal"/>
        <w:spacing w:after="120" w:line="360"/>
        <w:jc w:val="left"/>
      </w:pPr>
      <w:r>
        <w:t xml:space="preserve">LinkedIn ABM Tier 2 campaigns, applying programmatic account-based marketing to approximately 2,500 secondary-fit accounts, generated 2,847 clicks, 412 leads, and achieved 2.6x ROAS with CPA of €71. This represents strong performance for a programmatic channel and indicates that accounts in the secondary tier, while not individually researched and planned, remain valuable targets. Tier 2 ABM provides a cost-effective way to build awareness and engagement with a broad set of accounts that may move into higher-tier attention if they demonstrate strong engagement signals. The Tier 2 program also functions as a lead indicator of emerging opportunities—accounts that engage most heavily with Tier 2 campaigns can be promoted into Tier 1 ABM in subsequent quarters based on demonstrated interest.</w:t>
      </w:r>
    </w:p>
    <w:p>
      <w:pPr>
        <w:pStyle w:val="Normal"/>
        <w:spacing w:after="120" w:line="360"/>
        <w:jc w:val="left"/>
      </w:pPr>
      <w:r>
        <w:t xml:space="preserve">LinkedIn Lead Generation Forms campaigns generated 158 leads in Q1 at a CPL of €47, representing excellent efficiency compared to other channels. However, lead quality proved poor, with only 8% of forms-sourced leads converting to SQL (vs. 25% average conversion rate across all channels). This dramatic quality variance suggests that the value proposition in the form offer (we offered a "Workflow Automation ROI Calculator") attracts a different user profile than our target ICP. Specifically, forms respondents skew toward smaller organizations (median 45 employees vs. 120 for qualified leads) and toward roles lacking procurement authority. In Q2, we will modify the form offer to focus on higher-intent content such as "GDPR Compliance Checklist" or "Asana-to-NovaTech Migration Guide," which should attract more qualified prospects. Alternatively, if forms performance does not improve with revised offers, we recommend reallocating this budget to Tier 1 ABM, which has demonstrated substantially higher value. We anticipate that with revised content offers, forms conversion rates can improve to 15-18%, making the channel marginally acceptable, but the risk of continued underperformance is significant.</w:t>
      </w:r>
    </w:p>
    <w:p>
      <w:pPr>
        <w:pStyle w:val="Normal"/>
        <w:spacing w:after="120" w:line="360"/>
        <w:jc w:val="left"/>
      </w:pPr>
      <w:r>
        <w:t xml:space="preserve">LinkedIn Sponsored Content campaigns promoting thought leadership articles, case studies, and educational content received €23,000 in Q1 investment. These campaigns, designed primarily for brand awareness and consideration-stage engagement rather than direct lead generation, generated 3,412 clicks, 87 leads, and achieved 1.2x ROAS on a lead-generation basis. If we adjust the ROAS calculation to account for brand awareness value (recognizing that sponsored content serves a brand-building function distinct from direct lead generation), the return is more favorable. Analysis of downstream conversion shows that 31% of sponsored content viewers ultimately convert to customer within 12 months, despite low initial lead conversion. When we apply this downstream conversion rate to the cost basis, implied ROAS is approximately 2.1x, a more reasonable figure. However, the lead volume and conversion metrics suggest sponsored content is better evaluated as a brand and consideration-stage vehicle rather than a top-funnel lead generation channel. In Q2, we will increase investment in sponsored content featuring educational assets (e.g., "5 Lessons from Logistics Companies Using Workflow Automation") while reducing promotional and product-focused content. We will also implement view-through conversion tracking to better measure the brand-building impact of sponsored content and to justify continued investment in this channel.</w:t>
      </w:r>
    </w:p>
    <w:p>
      <w:pPr>
        <w:pStyle w:val="Normal"/>
        <w:spacing w:after="120" w:line="360"/>
        <w:jc w:val="left"/>
      </w:pPr>
      <w:r>
        <w:t xml:space="preserve">YouTube advertising campaigns received €28,000 in Q1 investment and generated 4,187 video views, 287 clicks to product demo landing pages, 62 leads, and 8 customers. ROAS was 2.1x with CPA of €140. While these metrics appear modest, the role of YouTube in the customer journey is different from search or LinkedIn. Many prospects discover NovaTech through YouTube when researching competitors or exploring general project management concepts; however, a YouTube view may not directly convert to lead, instead building awareness that influences later conversion through search or ABM. To better understand YouTube's role in the full funnel, we are implementing view-through conversion tracking in Q2, which will attribute later conversions to YouTube impressions even if the user does not click from the video itself. Initial analysis suggests that YouTube influences approximately 18% of downstream conversions, suggesting true ROI is closer to 2.4x. Additionally, detailed creative analysis reveals that customer case study videos (showing how real customers use NovaTech to solve specific problems) achieve 2.8x ROAS, while generic product feature videos achieve only 1.6x ROAS. In Q2, we will increase investment in case study video production, allocating €12,000 to produce 4 new case study videos from diverse customer verticals. We recommend maintaining YouTube investment in Q2 at current levels and increasing allocation modestly if case study video performance meets projections.</w:t>
      </w:r>
    </w:p>
    <w:p>
      <w:pPr>
        <w:pStyle w:val="Normal"/>
        <w:spacing w:after="120" w:line="360"/>
        <w:jc w:val="left"/>
      </w:pPr>
      <w:r>
        <w:t xml:space="preserve">Display and retargeting campaigns, designed to re-engage website visitors and previous prospects, received €29,000 in Q1 investment. These campaigns appeared on thousands of websites within the Google Display Network and on partners including LinkedIn and Twitter, showing ads to users who had previously visited our website or engaged with our content. Display campaigns generated 8,472 impressions, 143 clicks, 18 leads, and 1 customer. ROAS was 0.9x, well below our profitability threshold. Analysis suggests display is underperforming for multiple reasons: (1) the audience pool includes everyone who has ever visited our website, including casual visitors unlikely to have genuine project management software need; (2) creative fatigue—we ran the same creative throughout Q1 without refreshing, leading to declining CTR as the quarter progressed; (3) messaging mismatch—display creative emphasized product features rather than pain points, misaligned with how users engage with display advertising. In Q2, we will implement more sophisticated audience segmentation (showing different creative to prospects who have visited specific high-intent pages such as pricing or competitive comparison pages) and will refresh creative on a bi-weekly basis to combat fatigue. We will also redesign creative to emphasize problem-identification and educational value rather than product features. If these optimizations do not improve ROAS to above 1.5x by mid-Q2, we recommend reallocating remaining display budget to higher-performing channels.</w:t>
      </w:r>
    </w:p>
    <w:p>
      <w:pPr>
        <w:pStyle w:val="Normal"/>
        <w:spacing w:after="120" w:line="360"/>
        <w:jc w:val="left"/>
      </w:pPr>
      <w:r>
        <w:t xml:space="preserve">Content Syndication campaigns, in which we distribute gated educational content such as industry reports through syndication partners, received €20,000 in Q1 investment. These campaigns generated 542 leads at €37 CPL—excellent cost efficiency. However, consistent with 2024 experience, lead quality proved poor, with only 7% of syndication-sourced leads converting to SQL (vs. 25% average). This poor quality-to-quantity profile makes content syndication unattractive for 2025. We recommend pausing broad content syndication and reallocating this budget to higher-ROI channels. However, we will pursue targeted content partnerships with industry analyst firms (Gartner, Forrester) and vertical-specific trade publications, which may provide lead generation benefits alongside brand awareness. These targeted partnerships differ from broad syndication in that they target highly curated, intent-driven audiences rather than general opted-in lists. We estimate that targeted partnerships will achieve 25-30% better lead quality than broad syndication, potentially improving SQL conversion rates to 10-12%, making the channel marginally viable.</w:t>
      </w:r>
    </w:p>
    <w:tbl>
      <w:tblPr>
        <w:tblW w:type="pct" w:w="100%"/>
        <w:tblBorders>
          <w:top w:val="single" w:color="999999" w:sz="6"/>
          <w:left w:val="single" w:color="999999" w:sz="6"/>
          <w:bottom w:val="single" w:color="999999" w:sz="6"/>
          <w:right w:val="single" w:color="999999" w:sz="6"/>
          <w:insideH w:val="single" w:color="CCCCCC" w:sz="6"/>
          <w:insideV w:val="single" w:color="CCCCCC" w:sz="6"/>
        </w:tblBorders>
      </w:tblPr>
      <w:tblGrid>
        <w:gridCol w:w="100"/>
        <w:gridCol w:w="100"/>
        <w:gridCol w:w="100"/>
        <w:gridCol w:w="100"/>
        <w:gridCol w:w="100"/>
        <w:gridCol w:w="100"/>
      </w:tblGrid>
      <w:tr>
        <w:tc>
          <w:tcPr>
            <w:shd w:color="E8E8E8" w:val="clear"/>
            <w:vAlign w:val="center"/>
          </w:tcPr>
          <w:p>
            <w:r>
              <w:t xml:space="preserve">Channel</w:t>
            </w:r>
          </w:p>
        </w:tc>
        <w:tc>
          <w:tcPr>
            <w:shd w:color="E8E8E8" w:val="clear"/>
            <w:vAlign w:val="center"/>
          </w:tcPr>
          <w:p>
            <w:r>
              <w:t xml:space="preserve">Q1 Budget</w:t>
            </w:r>
          </w:p>
        </w:tc>
        <w:tc>
          <w:tcPr>
            <w:shd w:color="E8E8E8" w:val="clear"/>
            <w:vAlign w:val="center"/>
          </w:tcPr>
          <w:p>
            <w:r>
              <w:t xml:space="preserve">MQLs</w:t>
            </w:r>
          </w:p>
        </w:tc>
        <w:tc>
          <w:tcPr>
            <w:shd w:color="E8E8E8" w:val="clear"/>
            <w:vAlign w:val="center"/>
          </w:tcPr>
          <w:p>
            <w:r>
              <w:t xml:space="preserve">CPA</w:t>
            </w:r>
          </w:p>
        </w:tc>
        <w:tc>
          <w:tcPr>
            <w:shd w:color="E8E8E8" w:val="clear"/>
            <w:vAlign w:val="center"/>
          </w:tcPr>
          <w:p>
            <w:r>
              <w:t xml:space="preserve">ROAS</w:t>
            </w:r>
          </w:p>
        </w:tc>
        <w:tc>
          <w:tcPr>
            <w:shd w:color="E8E8E8" w:val="clear"/>
            <w:vAlign w:val="center"/>
          </w:tcPr>
          <w:p>
            <w:r>
              <w:t xml:space="preserve">vs Target</w:t>
            </w:r>
          </w:p>
        </w:tc>
      </w:tr>
      <w:tr>
        <w:tc>
          <w:tcPr>
            <w:vAlign w:val="center"/>
          </w:tcPr>
          <w:p>
            <w:r>
              <w:t xml:space="preserve">Google Brand Search</w:t>
            </w:r>
          </w:p>
        </w:tc>
        <w:tc>
          <w:tcPr>
            <w:vAlign w:val="center"/>
          </w:tcPr>
          <w:p>
            <w:r>
              <w:t xml:space="preserve">€20,000</w:t>
            </w:r>
          </w:p>
        </w:tc>
        <w:tc>
          <w:tcPr>
            <w:vAlign w:val="center"/>
          </w:tcPr>
          <w:p>
            <w:r>
              <w:t xml:space="preserve">218</w:t>
            </w:r>
          </w:p>
        </w:tc>
        <w:tc>
          <w:tcPr>
            <w:vAlign w:val="center"/>
          </w:tcPr>
          <w:p>
            <w:r>
              <w:t xml:space="preserve">€37</w:t>
            </w:r>
          </w:p>
        </w:tc>
        <w:tc>
          <w:tcPr>
            <w:vAlign w:val="center"/>
          </w:tcPr>
          <w:p>
            <w:r>
              <w:t xml:space="preserve">7.2x</w:t>
            </w:r>
          </w:p>
        </w:tc>
        <w:tc>
          <w:tcPr>
            <w:vAlign w:val="center"/>
          </w:tcPr>
          <w:p>
            <w:r>
              <w:t xml:space="preserve">+6%</w:t>
            </w:r>
          </w:p>
        </w:tc>
      </w:tr>
      <w:tr>
        <w:tc>
          <w:tcPr>
            <w:vAlign w:val="center"/>
          </w:tcPr>
          <w:p>
            <w:r>
              <w:t xml:space="preserve">Google Generic Search</w:t>
            </w:r>
          </w:p>
        </w:tc>
        <w:tc>
          <w:tcPr>
            <w:vAlign w:val="center"/>
          </w:tcPr>
          <w:p>
            <w:r>
              <w:t xml:space="preserve">€30,000</w:t>
            </w:r>
          </w:p>
        </w:tc>
        <w:tc>
          <w:tcPr>
            <w:vAlign w:val="center"/>
          </w:tcPr>
          <w:p>
            <w:r>
              <w:t xml:space="preserve">392</w:t>
            </w:r>
          </w:p>
        </w:tc>
        <w:tc>
          <w:tcPr>
            <w:vAlign w:val="center"/>
          </w:tcPr>
          <w:p>
            <w:r>
              <w:t xml:space="preserve">€82</w:t>
            </w:r>
          </w:p>
        </w:tc>
        <w:tc>
          <w:tcPr>
            <w:vAlign w:val="center"/>
          </w:tcPr>
          <w:p>
            <w:r>
              <w:t xml:space="preserve">3.1x</w:t>
            </w:r>
          </w:p>
        </w:tc>
        <w:tc>
          <w:tcPr>
            <w:vAlign w:val="center"/>
          </w:tcPr>
          <w:p>
            <w:r>
              <w:t xml:space="preserve">+7%</w:t>
            </w:r>
          </w:p>
        </w:tc>
      </w:tr>
      <w:tr>
        <w:tc>
          <w:tcPr>
            <w:vAlign w:val="center"/>
          </w:tcPr>
          <w:p>
            <w:r>
              <w:t xml:space="preserve">Google Competitor Search</w:t>
            </w:r>
          </w:p>
        </w:tc>
        <w:tc>
          <w:tcPr>
            <w:vAlign w:val="center"/>
          </w:tcPr>
          <w:p>
            <w:r>
              <w:t xml:space="preserve">€15,000</w:t>
            </w:r>
          </w:p>
        </w:tc>
        <w:tc>
          <w:tcPr>
            <w:vAlign w:val="center"/>
          </w:tcPr>
          <w:p>
            <w:r>
              <w:t xml:space="preserve">52</w:t>
            </w:r>
          </w:p>
        </w:tc>
        <w:tc>
          <w:tcPr>
            <w:vAlign w:val="center"/>
          </w:tcPr>
          <w:p>
            <w:r>
              <w:t xml:space="preserve">€94</w:t>
            </w:r>
          </w:p>
        </w:tc>
        <w:tc>
          <w:tcPr>
            <w:vAlign w:val="center"/>
          </w:tcPr>
          <w:p>
            <w:r>
              <w:t xml:space="preserve">2.8x</w:t>
            </w:r>
          </w:p>
        </w:tc>
        <w:tc>
          <w:tcPr>
            <w:vAlign w:val="center"/>
          </w:tcPr>
          <w:p>
            <w:r>
              <w:t xml:space="preserve">-10%</w:t>
            </w:r>
          </w:p>
        </w:tc>
      </w:tr>
      <w:tr>
        <w:tc>
          <w:tcPr>
            <w:vAlign w:val="center"/>
          </w:tcPr>
          <w:p>
            <w:r>
              <w:t xml:space="preserve">LinkedIn ABM Tier 1</w:t>
            </w:r>
          </w:p>
        </w:tc>
        <w:tc>
          <w:tcPr>
            <w:vAlign w:val="center"/>
          </w:tcPr>
          <w:p>
            <w:r>
              <w:t xml:space="preserve">€60,000</w:t>
            </w:r>
          </w:p>
        </w:tc>
        <w:tc>
          <w:tcPr>
            <w:vAlign w:val="center"/>
          </w:tcPr>
          <w:p>
            <w:r>
              <w:t xml:space="preserve">287*</w:t>
            </w:r>
          </w:p>
        </w:tc>
        <w:tc>
          <w:tcPr>
            <w:vAlign w:val="center"/>
          </w:tcPr>
          <w:p>
            <w:r>
              <w:t xml:space="preserve">€209*</w:t>
            </w:r>
          </w:p>
        </w:tc>
        <w:tc>
          <w:tcPr>
            <w:vAlign w:val="center"/>
          </w:tcPr>
          <w:p>
            <w:r>
              <w:t xml:space="preserve">6.5x*</w:t>
            </w:r>
          </w:p>
        </w:tc>
        <w:tc>
          <w:tcPr>
            <w:vAlign w:val="center"/>
          </w:tcPr>
          <w:p>
            <w:r>
              <w:t xml:space="preserve">+85%</w:t>
            </w:r>
          </w:p>
        </w:tc>
      </w:tr>
      <w:tr>
        <w:tc>
          <w:tcPr>
            <w:vAlign w:val="center"/>
          </w:tcPr>
          <w:p>
            <w:r>
              <w:t xml:space="preserve">LinkedIn ABM Tier 2</w:t>
            </w:r>
          </w:p>
        </w:tc>
        <w:tc>
          <w:tcPr>
            <w:vAlign w:val="center"/>
          </w:tcPr>
          <w:p>
            <w:r>
              <w:t xml:space="preserve">€35,000</w:t>
            </w:r>
          </w:p>
        </w:tc>
        <w:tc>
          <w:tcPr>
            <w:vAlign w:val="center"/>
          </w:tcPr>
          <w:p>
            <w:r>
              <w:t xml:space="preserve">412</w:t>
            </w:r>
          </w:p>
        </w:tc>
        <w:tc>
          <w:tcPr>
            <w:vAlign w:val="center"/>
          </w:tcPr>
          <w:p>
            <w:r>
              <w:t xml:space="preserve">€71</w:t>
            </w:r>
          </w:p>
        </w:tc>
        <w:tc>
          <w:tcPr>
            <w:vAlign w:val="center"/>
          </w:tcPr>
          <w:p>
            <w:r>
              <w:t xml:space="preserve">2.6x</w:t>
            </w:r>
          </w:p>
        </w:tc>
        <w:tc>
          <w:tcPr>
            <w:vAlign w:val="center"/>
          </w:tcPr>
          <w:p>
            <w:r>
              <w:t xml:space="preserve">-8%</w:t>
            </w:r>
          </w:p>
        </w:tc>
      </w:tr>
      <w:tr>
        <w:tc>
          <w:tcPr>
            <w:vAlign w:val="center"/>
          </w:tcPr>
          <w:p>
            <w:r>
              <w:t xml:space="preserve">LinkedIn Lead Gen Forms</w:t>
            </w:r>
          </w:p>
        </w:tc>
        <w:tc>
          <w:tcPr>
            <w:vAlign w:val="center"/>
          </w:tcPr>
          <w:p>
            <w:r>
              <w:t xml:space="preserve">€15,000</w:t>
            </w:r>
          </w:p>
        </w:tc>
        <w:tc>
          <w:tcPr>
            <w:vAlign w:val="center"/>
          </w:tcPr>
          <w:p>
            <w:r>
              <w:t xml:space="preserve">158</w:t>
            </w:r>
          </w:p>
        </w:tc>
        <w:tc>
          <w:tcPr>
            <w:vAlign w:val="center"/>
          </w:tcPr>
          <w:p>
            <w:r>
              <w:t xml:space="preserve">€47</w:t>
            </w:r>
          </w:p>
        </w:tc>
        <w:tc>
          <w:tcPr>
            <w:vAlign w:val="center"/>
          </w:tcPr>
          <w:p>
            <w:r>
              <w:t xml:space="preserve">1.1x</w:t>
            </w:r>
          </w:p>
        </w:tc>
        <w:tc>
          <w:tcPr>
            <w:vAlign w:val="center"/>
          </w:tcPr>
          <w:p>
            <w:r>
              <w:t xml:space="preserve">-62%</w:t>
            </w:r>
          </w:p>
        </w:tc>
      </w:tr>
      <w:tr>
        <w:tc>
          <w:tcPr>
            <w:vAlign w:val="center"/>
          </w:tcPr>
          <w:p>
            <w:r>
              <w:t xml:space="preserve">LinkedIn Sponsored Content</w:t>
            </w:r>
          </w:p>
        </w:tc>
        <w:tc>
          <w:tcPr>
            <w:vAlign w:val="center"/>
          </w:tcPr>
          <w:p>
            <w:r>
              <w:t xml:space="preserve">€23,000</w:t>
            </w:r>
          </w:p>
        </w:tc>
        <w:tc>
          <w:tcPr>
            <w:vAlign w:val="center"/>
          </w:tcPr>
          <w:p>
            <w:r>
              <w:t xml:space="preserve">87</w:t>
            </w:r>
          </w:p>
        </w:tc>
        <w:tc>
          <w:tcPr>
            <w:vAlign w:val="center"/>
          </w:tcPr>
          <w:p>
            <w:r>
              <w:t xml:space="preserve">€265</w:t>
            </w:r>
          </w:p>
        </w:tc>
        <w:tc>
          <w:tcPr>
            <w:vAlign w:val="center"/>
          </w:tcPr>
          <w:p>
            <w:r>
              <w:t xml:space="preserve">1.2x</w:t>
            </w:r>
          </w:p>
        </w:tc>
        <w:tc>
          <w:tcPr>
            <w:vAlign w:val="center"/>
          </w:tcPr>
          <w:p>
            <w:r>
              <w:t xml:space="preserve">-35%</w:t>
            </w:r>
          </w:p>
        </w:tc>
      </w:tr>
      <w:tr>
        <w:tc>
          <w:tcPr>
            <w:vAlign w:val="center"/>
          </w:tcPr>
          <w:p>
            <w:r>
              <w:t xml:space="preserve">YouTube</w:t>
            </w:r>
          </w:p>
        </w:tc>
        <w:tc>
          <w:tcPr>
            <w:vAlign w:val="center"/>
          </w:tcPr>
          <w:p>
            <w:r>
              <w:t xml:space="preserve">€28,000</w:t>
            </w:r>
          </w:p>
        </w:tc>
        <w:tc>
          <w:tcPr>
            <w:vAlign w:val="center"/>
          </w:tcPr>
          <w:p>
            <w:r>
              <w:t xml:space="preserve">62</w:t>
            </w:r>
          </w:p>
        </w:tc>
        <w:tc>
          <w:tcPr>
            <w:vAlign w:val="center"/>
          </w:tcPr>
          <w:p>
            <w:r>
              <w:t xml:space="preserve">€140</w:t>
            </w:r>
          </w:p>
        </w:tc>
        <w:tc>
          <w:tcPr>
            <w:vAlign w:val="center"/>
          </w:tcPr>
          <w:p>
            <w:r>
              <w:t xml:space="preserve">2.1x</w:t>
            </w:r>
          </w:p>
        </w:tc>
        <w:tc>
          <w:tcPr>
            <w:vAlign w:val="center"/>
          </w:tcPr>
          <w:p>
            <w:r>
              <w:t xml:space="preserve">-28%</w:t>
            </w:r>
          </w:p>
        </w:tc>
      </w:tr>
      <w:tr>
        <w:tc>
          <w:tcPr>
            <w:vAlign w:val="center"/>
          </w:tcPr>
          <w:p>
            <w:r>
              <w:t xml:space="preserve">Display Retargeting</w:t>
            </w:r>
          </w:p>
        </w:tc>
        <w:tc>
          <w:tcPr>
            <w:vAlign w:val="center"/>
          </w:tcPr>
          <w:p>
            <w:r>
              <w:t xml:space="preserve">€29,000</w:t>
            </w:r>
          </w:p>
        </w:tc>
        <w:tc>
          <w:tcPr>
            <w:vAlign w:val="center"/>
          </w:tcPr>
          <w:p>
            <w:r>
              <w:t xml:space="preserve">18</w:t>
            </w:r>
          </w:p>
        </w:tc>
        <w:tc>
          <w:tcPr>
            <w:vAlign w:val="center"/>
          </w:tcPr>
          <w:p>
            <w:r>
              <w:t xml:space="preserve">€556</w:t>
            </w:r>
          </w:p>
        </w:tc>
        <w:tc>
          <w:tcPr>
            <w:vAlign w:val="center"/>
          </w:tcPr>
          <w:p>
            <w:r>
              <w:t xml:space="preserve">0.9x</w:t>
            </w:r>
          </w:p>
        </w:tc>
        <w:tc>
          <w:tcPr>
            <w:vAlign w:val="center"/>
          </w:tcPr>
          <w:p>
            <w:r>
              <w:t xml:space="preserve">-68%</w:t>
            </w:r>
          </w:p>
        </w:tc>
      </w:tr>
      <w:tr>
        <w:tc>
          <w:tcPr>
            <w:vAlign w:val="center"/>
          </w:tcPr>
          <w:p>
            <w:r>
              <w:t xml:space="preserve">Content Syndication</w:t>
            </w:r>
          </w:p>
        </w:tc>
        <w:tc>
          <w:tcPr>
            <w:vAlign w:val="center"/>
          </w:tcPr>
          <w:p>
            <w:r>
              <w:t xml:space="preserve">€20,000</w:t>
            </w:r>
          </w:p>
        </w:tc>
        <w:tc>
          <w:tcPr>
            <w:vAlign w:val="center"/>
          </w:tcPr>
          <w:p>
            <w:r>
              <w:t xml:space="preserve">542</w:t>
            </w:r>
          </w:p>
        </w:tc>
        <w:tc>
          <w:tcPr>
            <w:vAlign w:val="center"/>
          </w:tcPr>
          <w:p>
            <w:r>
              <w:t xml:space="preserve">€37</w:t>
            </w:r>
          </w:p>
        </w:tc>
        <w:tc>
          <w:tcPr>
            <w:vAlign w:val="center"/>
          </w:tcPr>
          <w:p>
            <w:r>
              <w:t xml:space="preserve">0.8x</w:t>
            </w:r>
          </w:p>
        </w:tc>
        <w:tc>
          <w:tcPr>
            <w:vAlign w:val="center"/>
          </w:tcPr>
          <w:p>
            <w:r>
              <w:t xml:space="preserve">-72%</w:t>
            </w:r>
          </w:p>
        </w:tc>
      </w:tr>
    </w:tbl>
    <w:p>
      <w:pPr>
        <w:pStyle w:val="Normal"/>
        <w:spacing w:after="120" w:line="360"/>
        <w:jc w:val="left"/>
      </w:pPr>
      <w:r>
        <w:t xml:space="preserve">Note: *ABM metrics use meeting generation rather than lead conversion as primary success metric; cost per meeting is €155 and implied ROAS assumes €100 value per meeting. Detailed channel analysis with specific optimization recommendations is provided in preceding paragraphs.</w:t>
      </w:r>
    </w:p>
    <w:p>
      <w:pPr>
        <w:pStyle w:val="Normal"/>
        <w:spacing w:after="120" w:line="360"/>
        <w:jc w:val="left"/>
      </w:pPr>
      <w:r>
        <w:t xml:space="preserve">Summing across all channels, Q1 2025 marketing delivered 1,523 MQLs at average CPL of €148, ROAS of 3.2x, and average CPA of €82. These aggregate metrics exceeded our targets and represent strong marketing execution. However, the variance in channel performance creates opportunities for Q2 optimization. Channels underperforming relative to targets—LinkedIn Lead Gen Forms, LinkedIn Sponsored Content, YouTube, Display Retargeting, Content Syndication—represent approximately 24% of our total budget but generate only 14% of MQLs. Strategic reallocation of this 24% budget to higher-performing channels, combined with optimization efforts for underperforming channels, should drive Q2 performance above Q1 levels. We estimate that the optimizations detailed above could improve overall marketing ROAS from 3.2x to 3.6x without material budget increase.</w:t>
      </w:r>
    </w:p>
    <w:p>
      <w:pPr>
        <w:spacing w:after="120" w:before="240"/>
      </w:pPr>
      <w:r>
        <w:t xml:space="preserve">Q1 PIPELINE &amp; REVENUE IMPACT</w:t>
      </w:r>
    </w:p>
    <w:p>
      <w:pPr>
        <w:pStyle w:val="Normal"/>
        <w:spacing w:after="120" w:line="360"/>
        <w:jc w:val="left"/>
      </w:pPr>
      <w:r>
        <w:t xml:space="preserve">Q1 marketing campaigns generated €5.1M in Annual Recurring Revenue (ARR) pipeline opportunity—the total value of qualified opportunities created from Q1 marketing sources. This represents an 8.5% beat against our quarterly target of €4.7M and positions us well for achieving our annual €11.8M pipeline target. By channel, pipeline distribution reflected the quality and sales-readiness of leads: Google Brand Search generated 18% of pipeline (€0.92M) while consuming just 8% of budget; LinkedIn ABM Tier 1 generated 28% of pipeline (€1.43M) while consuming 27% of budget, indicating excellent efficiency and strategic fit. Conversely, Content Syndication generated only 1.2% of pipeline (€61K) while consuming 8.9% of budget, validating our Q2 decision to deprioritize this channel. Google Generic Search delivered consistent performance, generating 30% of pipeline (€1.54M) while consuming 13% of budget, indicating strong overall efficiency.</w:t>
      </w:r>
    </w:p>
    <w:p>
      <w:pPr>
        <w:pStyle w:val="Normal"/>
        <w:spacing w:after="120" w:line="360"/>
        <w:jc w:val="left"/>
      </w:pPr>
      <w:r>
        <w:t xml:space="preserve">Most importantly, Q1 revealed that the sales velocity of marketing-sourced opportunities is significantly faster than historical norms. On average, opportunities created from Q1 marketing activities are advancing through the sales pipeline 18% faster than 2024-sourced opportunities—meaning deals are reaching decision stage roughly 2–3 weeks sooner. This acceleration likely reflects both improved quality of our marketing-sourced leads and a genuine market acceleration (prospects are moving faster from awareness to decision due to external market factors). The faster sales velocity has enabled the sales team to close several Q1-sourced deals already in Q2, contributing to exceptionally strong Q2 revenue performance tracking toward 120%+ of plan.</w:t>
      </w:r>
    </w:p>
    <w:p>
      <w:pPr>
        <w:pStyle w:val="Normal"/>
        <w:spacing w:after="120" w:line="360"/>
        <w:jc w:val="left"/>
      </w:pPr>
      <w:r>
        <w:t xml:space="preserve">Additionally, we observed that deal sizes for Q1-sourced opportunities are modestly larger than historical benchmarks. The average ACV of Q1-sourced opportunities is €18,600, compared to €18,000 average across our entire customer base. We attribute this to more effective ABM targeting and vertical-specific messaging, which causes our marketing to skew toward larger, more sophisticated organizations that are more likely to buy premium tiers. This modest ACV increase, if sustained, could drive an additional €0.3-€0.4M in annual revenue relative to our plan.</w:t>
      </w:r>
    </w:p>
    <w:tbl>
      <w:tblPr>
        <w:tblW w:type="pct" w:w="100%"/>
        <w:tblBorders>
          <w:top w:val="single" w:color="999999" w:sz="6"/>
          <w:left w:val="single" w:color="999999" w:sz="6"/>
          <w:bottom w:val="single" w:color="999999" w:sz="6"/>
          <w:right w:val="single" w:color="999999" w:sz="6"/>
          <w:insideH w:val="single" w:color="CCCCCC" w:sz="6"/>
          <w:insideV w:val="single" w:color="CCCCCC" w:sz="6"/>
        </w:tblBorders>
      </w:tblPr>
      <w:tblGrid>
        <w:gridCol w:w="100"/>
        <w:gridCol w:w="100"/>
        <w:gridCol w:w="100"/>
        <w:gridCol w:w="100"/>
      </w:tblGrid>
      <w:tr>
        <w:tc>
          <w:tcPr>
            <w:shd w:color="E8E8E8" w:val="clear"/>
            <w:vAlign w:val="center"/>
          </w:tcPr>
          <w:p>
            <w:r>
              <w:t xml:space="preserve">Pipeline Source</w:t>
            </w:r>
          </w:p>
        </w:tc>
        <w:tc>
          <w:tcPr>
            <w:shd w:color="E8E8E8" w:val="clear"/>
            <w:vAlign w:val="center"/>
          </w:tcPr>
          <w:p>
            <w:r>
              <w:t xml:space="preserve">Opportunities</w:t>
            </w:r>
          </w:p>
        </w:tc>
        <w:tc>
          <w:tcPr>
            <w:shd w:color="E8E8E8" w:val="clear"/>
            <w:vAlign w:val="center"/>
          </w:tcPr>
          <w:p>
            <w:r>
              <w:t xml:space="preserve">ARR Value</w:t>
            </w:r>
          </w:p>
        </w:tc>
        <w:tc>
          <w:tcPr>
            <w:shd w:color="E8E8E8" w:val="clear"/>
            <w:vAlign w:val="center"/>
          </w:tcPr>
          <w:p>
            <w:r>
              <w:t xml:space="preserve">% of Total</w:t>
            </w:r>
          </w:p>
        </w:tc>
      </w:tr>
      <w:tr>
        <w:tc>
          <w:tcPr>
            <w:vAlign w:val="center"/>
          </w:tcPr>
          <w:p>
            <w:r>
              <w:t xml:space="preserve">Google Brand Search</w:t>
            </w:r>
          </w:p>
        </w:tc>
        <w:tc>
          <w:tcPr>
            <w:vAlign w:val="center"/>
          </w:tcPr>
          <w:p>
            <w:r>
              <w:t xml:space="preserve">68</w:t>
            </w:r>
          </w:p>
        </w:tc>
        <w:tc>
          <w:tcPr>
            <w:vAlign w:val="center"/>
          </w:tcPr>
          <w:p>
            <w:r>
              <w:t xml:space="preserve">€920,000</w:t>
            </w:r>
          </w:p>
        </w:tc>
        <w:tc>
          <w:tcPr>
            <w:vAlign w:val="center"/>
          </w:tcPr>
          <w:p>
            <w:r>
              <w:t xml:space="preserve">18%</w:t>
            </w:r>
          </w:p>
        </w:tc>
      </w:tr>
      <w:tr>
        <w:tc>
          <w:tcPr>
            <w:vAlign w:val="center"/>
          </w:tcPr>
          <w:p>
            <w:r>
              <w:t xml:space="preserve">Google Generic Search</w:t>
            </w:r>
          </w:p>
        </w:tc>
        <w:tc>
          <w:tcPr>
            <w:vAlign w:val="center"/>
          </w:tcPr>
          <w:p>
            <w:r>
              <w:t xml:space="preserve">124</w:t>
            </w:r>
          </w:p>
        </w:tc>
        <w:tc>
          <w:tcPr>
            <w:vAlign w:val="center"/>
          </w:tcPr>
          <w:p>
            <w:r>
              <w:t xml:space="preserve">€1,540,000</w:t>
            </w:r>
          </w:p>
        </w:tc>
        <w:tc>
          <w:tcPr>
            <w:vAlign w:val="center"/>
          </w:tcPr>
          <w:p>
            <w:r>
              <w:t xml:space="preserve">30%</w:t>
            </w:r>
          </w:p>
        </w:tc>
      </w:tr>
      <w:tr>
        <w:tc>
          <w:tcPr>
            <w:vAlign w:val="center"/>
          </w:tcPr>
          <w:p>
            <w:r>
              <w:t xml:space="preserve">Google Competitor Search</w:t>
            </w:r>
          </w:p>
        </w:tc>
        <w:tc>
          <w:tcPr>
            <w:vAlign w:val="center"/>
          </w:tcPr>
          <w:p>
            <w:r>
              <w:t xml:space="preserve">18</w:t>
            </w:r>
          </w:p>
        </w:tc>
        <w:tc>
          <w:tcPr>
            <w:vAlign w:val="center"/>
          </w:tcPr>
          <w:p>
            <w:r>
              <w:t xml:space="preserve">€280,000</w:t>
            </w:r>
          </w:p>
        </w:tc>
        <w:tc>
          <w:tcPr>
            <w:vAlign w:val="center"/>
          </w:tcPr>
          <w:p>
            <w:r>
              <w:t xml:space="preserve">5.5%</w:t>
            </w:r>
          </w:p>
        </w:tc>
      </w:tr>
      <w:tr>
        <w:tc>
          <w:tcPr>
            <w:vAlign w:val="center"/>
          </w:tcPr>
          <w:p>
            <w:r>
              <w:t xml:space="preserve">LinkedIn ABM Tier 1</w:t>
            </w:r>
          </w:p>
        </w:tc>
        <w:tc>
          <w:tcPr>
            <w:vAlign w:val="center"/>
          </w:tcPr>
          <w:p>
            <w:r>
              <w:t xml:space="preserve">82</w:t>
            </w:r>
          </w:p>
        </w:tc>
        <w:tc>
          <w:tcPr>
            <w:vAlign w:val="center"/>
          </w:tcPr>
          <w:p>
            <w:r>
              <w:t xml:space="preserve">€1,430,000</w:t>
            </w:r>
          </w:p>
        </w:tc>
        <w:tc>
          <w:tcPr>
            <w:vAlign w:val="center"/>
          </w:tcPr>
          <w:p>
            <w:r>
              <w:t xml:space="preserve">28%</w:t>
            </w:r>
          </w:p>
        </w:tc>
      </w:tr>
      <w:tr>
        <w:tc>
          <w:tcPr>
            <w:vAlign w:val="center"/>
          </w:tcPr>
          <w:p>
            <w:r>
              <w:t xml:space="preserve">LinkedIn ABM Tier 2</w:t>
            </w:r>
          </w:p>
        </w:tc>
        <w:tc>
          <w:tcPr>
            <w:vAlign w:val="center"/>
          </w:tcPr>
          <w:p>
            <w:r>
              <w:t xml:space="preserve">72</w:t>
            </w:r>
          </w:p>
        </w:tc>
        <w:tc>
          <w:tcPr>
            <w:vAlign w:val="center"/>
          </w:tcPr>
          <w:p>
            <w:r>
              <w:t xml:space="preserve">€840,000</w:t>
            </w:r>
          </w:p>
        </w:tc>
        <w:tc>
          <w:tcPr>
            <w:vAlign w:val="center"/>
          </w:tcPr>
          <w:p>
            <w:r>
              <w:t xml:space="preserve">16.5%</w:t>
            </w:r>
          </w:p>
        </w:tc>
      </w:tr>
      <w:tr>
        <w:tc>
          <w:tcPr>
            <w:vAlign w:val="center"/>
          </w:tcPr>
          <w:p>
            <w:r>
              <w:t xml:space="preserve">Other Channels</w:t>
            </w:r>
          </w:p>
        </w:tc>
        <w:tc>
          <w:tcPr>
            <w:vAlign w:val="center"/>
          </w:tcPr>
          <w:p>
            <w:r>
              <w:t xml:space="preserve">36</w:t>
            </w:r>
          </w:p>
        </w:tc>
        <w:tc>
          <w:tcPr>
            <w:vAlign w:val="center"/>
          </w:tcPr>
          <w:p>
            <w:r>
              <w:t xml:space="preserve">€100,000</w:t>
            </w:r>
          </w:p>
        </w:tc>
        <w:tc>
          <w:tcPr>
            <w:vAlign w:val="center"/>
          </w:tcPr>
          <w:p>
            <w:r>
              <w:t xml:space="preserve">2%</w:t>
            </w:r>
          </w:p>
        </w:tc>
      </w:tr>
      <w:tr>
        <w:tc>
          <w:tcPr>
            <w:vAlign w:val="center"/>
          </w:tcPr>
          <w:p>
            <w:r>
              <w:t xml:space="preserve">Total Q1 Pipeline</w:t>
            </w:r>
          </w:p>
        </w:tc>
        <w:tc>
          <w:tcPr>
            <w:vAlign w:val="center"/>
          </w:tcPr>
          <w:p>
            <w:r>
              <w:t xml:space="preserve">400</w:t>
            </w:r>
          </w:p>
        </w:tc>
        <w:tc>
          <w:tcPr>
            <w:vAlign w:val="center"/>
          </w:tcPr>
          <w:p>
            <w:r>
              <w:t xml:space="preserve">€5,100,000</w:t>
            </w:r>
          </w:p>
        </w:tc>
        <w:tc>
          <w:tcPr>
            <w:vAlign w:val="center"/>
          </w:tcPr>
          <w:p>
            <w:r>
              <w:t xml:space="preserve">100%</w:t>
            </w:r>
          </w:p>
        </w:tc>
      </w:tr>
    </w:tbl>
    <w:p>
      <w:pPr>
        <w:spacing w:after="120" w:before="240"/>
      </w:pPr>
      <w:r>
        <w:t xml:space="preserve">Q1 CREATIVE PERFORMANCE ANALYSIS</w:t>
      </w:r>
    </w:p>
    <w:p>
      <w:pPr>
        <w:pStyle w:val="Normal"/>
        <w:spacing w:after="120" w:line="360"/>
        <w:jc w:val="left"/>
      </w:pPr>
      <w:r>
        <w:t xml:space="preserve">Creative performance analysis is essential to understanding why certain campaigns succeed while others underperform, and to informing the creative strategy for Q2 and beyond. Throughout Q1, we ran 23 distinct creative assets (ad copy, visual designs, video content, email sequences) across our various campaigns. By analyzing engagement rates, click-through rates, lead conversion rates, and downstream customer conversion rates, we can identify the messaging themes and creative approaches most resonant with our target market.</w:t>
      </w:r>
    </w:p>
    <w:p>
      <w:pPr>
        <w:pStyle w:val="Normal"/>
        <w:spacing w:after="120" w:line="360"/>
        <w:jc w:val="left"/>
      </w:pPr>
      <w:r>
        <w:t xml:space="preserve">The top-performing creative theme across multiple channels was educational content addressing "common project management mistakes" and "warning signs your current tools are inadequate." Examples include LinkedIn ads with copy such as "5 Project Management Failures We See Every Week—and How to Avoid Them," email subject lines such as "Is Your Team Making These Resource Planning Mistakes?," and blog posts such as "The Hidden Costs of Spreadsheet-Based Project Management." Across all channels, this theme achieved 34% higher engagement rate, 18% higher CTR, and 25% higher conversion rates compared to average creative. We attribute this success to the fact that the messaging resonates with a pain-identification phase of the buyer journey—prospects recognize themselves in the described problems and are motivated to learn more. Additionally, the educational framing positions NovaTech as a thought leader offering expertise, rather than as a vendor pushing product features. We will dramatically expand investment in this messaging theme in Q2, allocating additional budget to expand the "common mistakes" content series.</w:t>
      </w:r>
    </w:p>
    <w:p>
      <w:pPr>
        <w:pStyle w:val="Normal"/>
        <w:spacing w:after="120" w:line="360"/>
        <w:jc w:val="left"/>
      </w:pPr>
      <w:r>
        <w:t xml:space="preserve">The second-highest performing creative theme was customer case studies and testimonials from vertical-specific customers. For instance, LinkedIn ads and landing page content featuring a customer testimonial from a logistics company ("How We Reduced Project Delivery Delays by 18% Using NovaTech") achieved substantially higher engagement and conversion rates when viewed by users in logistics companies. We attribute this to the "proof transfer" effect—prospects believe that if another company similar to theirs successfully implemented a solution, they will too. However, generic case studies without vertical specificity underperformed, suggesting that case study effectiveness is heavily dependent on perceived relevance to the viewer. We will develop additional vertical-specific case studies in Q2, targeting at least 2 new case studies each for logistics, manufacturing, and consulting sectors.</w:t>
      </w:r>
    </w:p>
    <w:p>
      <w:pPr>
        <w:pStyle w:val="Normal"/>
        <w:spacing w:after="120" w:line="360"/>
        <w:jc w:val="left"/>
      </w:pPr>
      <w:r>
        <w:t xml:space="preserve">The third-highest performing creative theme was ROI-focused messaging emphasizing quantified benefits such as "Save 6 Hours Per Week Per Project Manager" or "Reduce Project Cost Overruns by 12%." This messaging particularly resonated with finance-focused personas and with organizations evaluating project management software on economic justification basis. ROI-focused creative achieved 22% higher conversion rates compared to average, likely because this theme addresses the buying committee member (CFO or procurement) most skeptical of software investments. In Q2, we will develop enhanced ROI calculator tools and ROI case studies to support this messaging approach.</w:t>
      </w:r>
    </w:p>
    <w:p>
      <w:pPr>
        <w:pStyle w:val="Normal"/>
        <w:spacing w:after="120" w:line="360"/>
        <w:jc w:val="left"/>
      </w:pPr>
      <w:r>
        <w:t xml:space="preserve">The lowest-performing creative themes were product feature-focused messaging and abstract brand messaging. Ads highlighting specific product capabilities such as "Advanced Gantt Chart Functionality" or "Integrations with 120+ Business Applications" achieved substantially below-average engagement and conversion rates. We attribute this to the fact that feature-focused messaging assumes the prospect already understands the category and is comparing alternatives; however, many of our prospects are not yet at the alternative-comparison stage and first need to understand whether they have a problem worth solving. Additionally, ads using abstract brand messaging such as "The Future of Work Management" without specific problem or benefit linkage underperformed, achieving only 2.8x lower ROAS than educational content. We will retire all remaining feature-focused creative in Q2 and redirect creative development toward pain-based and educational messaging.</w:t>
      </w:r>
    </w:p>
    <w:p>
      <w:pPr>
        <w:pStyle w:val="Normal"/>
        <w:spacing w:after="120" w:line="360"/>
        <w:jc w:val="left"/>
      </w:pPr>
      <w:r>
        <w:t xml:space="preserve">Based on this creative performance analysis, we are shifting our Q2 creative strategy substantially. We will increase budget allocation to educational content and problem-identification messaging, developing 12 new pieces of educational content in Q2 focused on industry-specific pain points. We will expand our vertical-specific case study library, targeting 4 new case studies from diverse customer verticals. We will reduce investment in generic feature-focused messaging and will retire poor-performing creative assets, reallocating budget to proven high-performers. Additionally, we will implement creative testing protocols in Q2, running controlled A/B tests of new creative variants against proven performers to systematically improve our creative effectiveness over time. We estimate these creative strategy changes will improve overall conversion rates by 8-12% in Q2 without incremental spend.</w:t>
      </w:r>
    </w:p>
    <w:p>
      <w:pPr>
        <w:spacing w:after="120" w:before="240"/>
      </w:pPr>
      <w:r>
        <w:t xml:space="preserve">Q1 ABM PROGRAM RESULTS</w:t>
      </w:r>
    </w:p>
    <w:p>
      <w:pPr>
        <w:pStyle w:val="Normal"/>
        <w:spacing w:after="120" w:line="360"/>
        <w:jc w:val="left"/>
      </w:pPr>
      <w:r>
        <w:t xml:space="preserve">The Account-Based Marketing program exceeded expectations in Q1, validating the strategic decision to prioritize ABM for 2025. Our Tier 1 ABM program, targeting 250 strategic named accounts with personalized outreach and customized creative, generated 387 initial meetings—representing a 155% achievement rate against our 250-meeting projection. Account engagement rate (percentage of target accounts showing at least one engagement with our campaigns) reached 74%, compared to our 65% target. These results represent exceptional performance and suggest even greater opportunity than originally projected. The combination of accurate account targeting and resonant messaging created a "perfect storm" of demand activation.</w:t>
      </w:r>
    </w:p>
    <w:p>
      <w:pPr>
        <w:pStyle w:val="Normal"/>
        <w:spacing w:after="120" w:line="360"/>
        <w:jc w:val="left"/>
      </w:pPr>
      <w:r>
        <w:t xml:space="preserve">Account penetration analysis reveals that our ABM campaigns successfully engaged multiple stakeholders within target accounts. On average, engaged accounts showed touchpoints from 3.2 different individuals—indicating multi-threading success. For instance, in a target logistics company, we may have engaged the IT Director through LinkedIn advertising, the VP of Operations through email content, and multiple project managers through webinar registration. This multi-threading approach increases deal probability and shortens sales cycles because multiple stakeholders develop awareness of NovaTech simultaneously, reducing bottlenecks where a single decision-maker delays purchasing.</w:t>
      </w:r>
    </w:p>
    <w:p>
      <w:pPr>
        <w:pStyle w:val="Normal"/>
        <w:spacing w:after="120" w:line="360"/>
        <w:jc w:val="left"/>
      </w:pPr>
      <w:r>
        <w:t xml:space="preserve">The 387 meetings generated from ABM campaigns converted to 71 opportunities (SQL level) and 18 customers in Q1. This represents an 18% conversion rate from meeting to customer—substantially higher than the average conversion rate across all channels (12%). The quality of ABM-sourced customers is also notably higher: average ACV for ABM-sourced customers is €24,800, compared to €18,000 overall average, indicating that ABM is effectively targeting larger, higher-value deals. Additionally, ABM customers show strong product adoption signals, with average product utilization (usage of advanced features beyond basic project viewing) 31% higher than non-ABM customers. This higher utilization suggests greater product-market fit and lower churn risk for ABM-sourced customers.</w:t>
      </w:r>
    </w:p>
    <w:p>
      <w:pPr>
        <w:pStyle w:val="Normal"/>
        <w:spacing w:after="120" w:line="360"/>
        <w:jc w:val="left"/>
      </w:pPr>
      <w:r>
        <w:t xml:space="preserve">Given the exceptional Q1 ABM results, we are recommending substantial expansion of the Tier 1 ABM program in Q2. We propose increasing the target account list from 250 to 400, focusing the additional 150 accounts on secondary vertical opportunities (e.g., financial services, healthcare) and geographic expansion (e.g., Benelux region, UK). This expansion will require additional marketing resources—we estimate 1.5 FTE of incremental ABM coordinator capacity—but the expected return (400 meetings, 72 additional customers annually, €1.3M incremental ARR) justifies the investment. Additionally, we will enhance the Tier 1 ABM process by implementing account health scoring to proactively identify accounts at risk of stalling, and by developing more sophisticated multi-channel campaign orchestration to increase engagement rates beyond current 74% baseline.</w:t>
      </w:r>
    </w:p>
    <w:p>
      <w:pPr>
        <w:spacing w:after="120" w:before="240"/>
      </w:pPr>
      <w:r>
        <w:t xml:space="preserve">CUSTOMER ACQUISITION COST ANALYSIS BY CHANNEL COHORT</w:t>
      </w:r>
    </w:p>
    <w:p>
      <w:pPr>
        <w:pStyle w:val="Normal"/>
        <w:spacing w:after="120" w:line="360"/>
        <w:jc w:val="left"/>
      </w:pPr>
      <w:r>
        <w:t xml:space="preserve">A detailed analysis of Q1 customer acquisitions reveals important patterns in cost-to-acquire across different customer segments. We segmented Q1 customers into four cohorts: Brand-sourced (18 customers), ABM-sourced (18 customers), Generic-sourced (14 customers), and Other-sourced (12 customers). The cost structure across these cohorts varies dramatically, with important implications for 2025 budget allocation strategy and long-term channel mix decisions.</w:t>
      </w:r>
    </w:p>
    <w:p>
      <w:pPr>
        <w:pStyle w:val="Normal"/>
        <w:spacing w:after="120" w:line="360"/>
        <w:jc w:val="left"/>
      </w:pPr>
      <w:r>
        <w:t xml:space="preserve">Brand-sourced customers had a blended Customer Acquisition Cost of €35, calculated as follows: €20,000 total brand search budget divided by 218 total brand leads divided by 47 customers converted divided by 18 Q1 customers equals €35 per customer. However, it is important to note that brand search CAC is artificially low in any given quarter because the full benefit of brand building investments made in prior quarters accrues to current-period brand search campaigns. If we amortize the full brand awareness and thought leadership investment across customer acquisition, the true fully-loaded cost is somewhat higher, perhaps €45-50 per customer. Nonetheless, brand CAC remains exceptional and represents highly efficient customer acquisition, substantially outperforming industry benchmarks of €60-80 per customer for SaaS in similar price ranges.</w:t>
      </w:r>
    </w:p>
    <w:p>
      <w:pPr>
        <w:pStyle w:val="Normal"/>
        <w:spacing w:after="120" w:line="360"/>
        <w:jc w:val="left"/>
      </w:pPr>
      <w:r>
        <w:t xml:space="preserve">ABM-sourced customers had Q1 CAC of €182, calculated as follows: €95,000 total ABM budget divided by 699 total ABM engagements divided by 71 opportunities advanced to SQL divided by 18 customers equals €182. This is substantially higher than brand CAC, but must be evaluated in context of customer lifetime value and strategic importance. ABM customers have 42% higher initial Annual Contract Value (€24,800 versus €18,000), significantly higher product adoption and utilization rates, and preliminary churn analysis suggests 18% lower customer churn rates. Assuming a 4-year customer lifetime, net revenue retention of 110%, and 8% annual churn rate, estimated LTV for ABM customers is approximately €89,000, compared to €68,000 for brand customers. This results in LTV-to-CAC ratio of 489% for ABM (€89,000 divided by €182) versus 1,943% for brand customers (€68,000 divided by €35). While ABM has substantially lower return ratio than brand, the absolute LTV generation is superior, and ABM is the primary lever for growth beyond the limited brand search demand that exists in any given period.</w:t>
      </w:r>
    </w:p>
    <w:p>
      <w:pPr>
        <w:pStyle w:val="Normal"/>
        <w:spacing w:after="120" w:line="360"/>
        <w:jc w:val="left"/>
      </w:pPr>
      <w:r>
        <w:t xml:space="preserve">Generic search-sourced customers had Q1 CAC of €127, calculated as: €30,000 generic budget divided by 392 leads divided by 61 customers divided by 14 Q1 customers equals €127. These customers show average ACV of €18,200 and adoption rates similar to brand customers, suggesting LTV of approximately €72,000. This produces LTV-to-CAC ratio of 567%, which is attractive and represents efficient growth beyond brand demand. The key opportunity is to improve quality and conversion rates of generic leads through better audience targeting, vertical-specific messaging, and keyword optimization, potentially reducing CAC toward €90-100 range while maintaining LTV. If we achieve this optimization by end of 2025, generic search would become the second-highest ROI channel after brand search.</w:t>
      </w:r>
    </w:p>
    <w:p>
      <w:pPr>
        <w:pStyle w:val="Normal"/>
        <w:spacing w:after="120" w:line="360"/>
        <w:jc w:val="left"/>
      </w:pPr>
      <w:r>
        <w:t xml:space="preserve">This cohort analysis validates our strategic focus on ABM expansion (highest absolute LTV generation despite higher CAC), continued brand search investment (exceptional efficiency), and generic search optimization (substantial upside potential). It also suggests we should resist the temptation to dramatically reduce generic search investment despite lower efficiency relative to brand—generic campaigns provide growth leverage to extend beyond limited brand demand, and improved targeting can drive meaningful CAC reduction and ROI improvement.</w:t>
      </w:r>
    </w:p>
    <w:p>
      <w:pPr>
        <w:spacing w:after="120" w:before="240"/>
      </w:pPr>
      <w:r>
        <w:t xml:space="preserve">CONVERSION FUNNEL ANALYSIS &amp; SALES EFFICIENCY METRICS</w:t>
      </w:r>
    </w:p>
    <w:p>
      <w:pPr>
        <w:pStyle w:val="Normal"/>
        <w:spacing w:after="120" w:line="360"/>
        <w:jc w:val="left"/>
      </w:pPr>
      <w:r>
        <w:t xml:space="preserve">Understanding conversion rates across the marketing-to-sales funnel is critical to identifying bottlenecks and optimizing the overall system. In Q1, we tracked four key conversion metrics: lead-to-SQL conversion rate, SQL-to-opportunity conversion rate, opportunity-to-customer conversion rate, and average sales cycle length from first touch to contract signature.</w:t>
      </w:r>
    </w:p>
    <w:p>
      <w:pPr>
        <w:pStyle w:val="Normal"/>
        <w:spacing w:after="120" w:line="360"/>
        <w:jc w:val="left"/>
      </w:pPr>
      <w:r>
        <w:t xml:space="preserve">Lead-to-SQL conversion in Q1 averaged 27.8% across all channels, slightly above our 25% annual target. However, variance by channel was substantial and revealing. Brand search leads converted to SQL at 38% rate, indicating exceptionally high quality and sales readiness. This elevated rate for brand leads reflects self-selection—customers searching our brand name are already convinced of our existence and relevance. ABM-sourced meetings converted to SQL at 18% rate, lower than brand but still respectable given the nature of ABM engagement (many initial meetings are exploratory conversations not yet qualified as SQL). Generic search leads converted at 24%, approaching the channel average. LinkedIn Lead Generation Forms achieved only 8% conversion to SQL, the key quality issue with that channel. Display Retargeting achieved 6% conversion, indicating that retargeted prospects may have low purchase intent. This variance confirms that while we are generating strong total lead volume, quality is highly channel-dependent. Improving overall SQL conversion rate from 27.8% to 30% would add approximately 350 SQLs annually—a meaningful contribution toward our pipeline target. The path to improvement is two-fold: (1) continue optimization of low-performing channels (Forms, Display) to improve quality through better offer selection and audience targeting, and (2) expand investment in high-performing channels where quality is already strong (Brand, ABM) to drive pipeline growth.</w:t>
      </w:r>
    </w:p>
    <w:p>
      <w:pPr>
        <w:pStyle w:val="Normal"/>
        <w:spacing w:after="120" w:line="360"/>
        <w:jc w:val="left"/>
      </w:pPr>
      <w:r>
        <w:t xml:space="preserve">SQL-to-opportunity conversion in Q1 was 82%, meaning 82% of leads qualified as SQL advanced to formal opportunity stage (defined as customer indicated serious interest and committed to evaluation timeline). This is a strong rate, suggesting that our lead qualification bar is appropriately calibrated. The rate remained consistent across channels, suggesting our sales team is applying consistent qualification standards regardless of lead source. Conversely, if this rate were consistently 95%+ across channels, we would conclude that our SQL qualification threshold is too low and we are generating false positives that waste sales time. At 82%, we have appropriate qualification discipline.</w:t>
      </w:r>
    </w:p>
    <w:p>
      <w:pPr>
        <w:pStyle w:val="Normal"/>
        <w:spacing w:after="120" w:line="360"/>
        <w:jc w:val="left"/>
      </w:pPr>
      <w:r>
        <w:t xml:space="preserve">Opportunity-to-customer conversion was 47% in Q1, meaning 47% of formal opportunities ultimately converted to customers within the same quarter or early Q2. This translates to approximate 90-day sales cycle from opportunity to close. This rate is reasonable for enterprise SaaS but suggests opportunity for improvement. Sales team feedback indicates that the longest stalls occur in the contracting and implementation planning phase, where enterprise customers require executive review and sign-off. Stalled opportunities frequently cite "pending budget approval" or "implementation resource availability" as hold-up factors. Improving this rate to 50%+ would add 50+ customers annually and meaningfully accelerate revenue. Recommended approach is to work with sales leadership to implement deal acceleration tactics including executive sponsor engagement, timeline pressure creation through limited-time pricing offers, and implementation services bundling to address enterprise buyer risk concerns. Additionally, improving transparency around typical implementation timelines and resource requirements earlier in the sales process could accelerate decision-making.</w:t>
      </w:r>
    </w:p>
    <w:p>
      <w:pPr>
        <w:pStyle w:val="Normal"/>
        <w:spacing w:after="120" w:line="360"/>
        <w:jc w:val="left"/>
      </w:pPr>
      <w:r>
        <w:t xml:space="preserve">Finally, average sales cycle length (time from initial lead creation to customer signature) was 78 days in Q1, down from 92 days in 2024 Q4. This 15% acceleration is positive and reflects both improved lead quality and faster market decision-making. We attribute the acceleration to three factors: (1) improved quality of marketing-sourced leads, particularly from ABM, has reduced discovery time; (2) rising market awareness of NovaTech has reduced education time in early sales conversations; and (3) increased competitive pressure may be accelerating customer decision-making timelines. If we can continue to reduce average sales cycle to 60-65 days by Q4, we can substantially increase quarterly customer acquisition velocity relative to lead generation lag, improving period-over-period growth rates.</w:t>
      </w:r>
    </w:p>
    <w:p>
      <w:pPr>
        <w:spacing w:after="120" w:before="240"/>
      </w:pPr>
      <w:r>
        <w:t xml:space="preserve">COMPETITIVE LANDSCAPE &amp; MARKET INTELLIGENCE</w:t>
      </w:r>
    </w:p>
    <w:p>
      <w:pPr>
        <w:pStyle w:val="Normal"/>
        <w:spacing w:after="120" w:line="360"/>
        <w:jc w:val="left"/>
      </w:pPr>
      <w:r>
        <w:t xml:space="preserve">Understanding competitive activity and broader market dynamics is essential to contextualizing NovaTech's Q1 performance and informing Q2 strategy. Throughout Q1, we monitored competitor marketing activity through combination of digital intelligence tools, sales team feedback, and industry analyst reports. This competitive intelligence revealed several noteworthy trends affecting the market environment in which NovaTech operates and informing our strategic response.</w:t>
      </w:r>
    </w:p>
    <w:p>
      <w:pPr>
        <w:pStyle w:val="Normal"/>
        <w:spacing w:after="120" w:line="360"/>
        <w:jc w:val="left"/>
      </w:pPr>
      <w:r>
        <w:t xml:space="preserve">Asana, our primary European competitor, significantly increased marketing investment starting in January 2025. Asana launched an aggressive campaign highlighting "GDPR Compliance" capabilities in direct response to increased customer inquiries about data residency and compliance—areas that had previously been NovaTech differentiation points. This competitive response compressed our messaging differentiation in the GDPR space. We can no longer credibly claim to be the only GDPR-native solution in the market, though NovaTech's architecture remains technically superior to Asana's retrofitted compliance capabilities. Additionally, Asana announced a "German language support preview" launching in Q2 2025, potentially reducing another historical NovaTech differentiation point. While Asana's German translation will initially be automated rather than natively designed, this capability erosion is noteworthy. Asana also increased CPC bids on German-language generic search keywords, with observed CPCs rising 18% quarter-over-quarter. Our strategic response has been to double down on messaging that emphasizes "German-first design philosophy" (not merely language translation) and enterprise security features that go beyond basic GDPR compliance, including fine-grained access controls, audit logging, and IP whitelisting.</w:t>
      </w:r>
    </w:p>
    <w:p>
      <w:pPr>
        <w:pStyle w:val="Normal"/>
        <w:spacing w:after="120" w:line="360"/>
        <w:jc w:val="left"/>
      </w:pPr>
      <w:r>
        <w:t xml:space="preserve">Monday.com remained relatively quiet on the competitive front throughout Q1, which is consistent with their strategic focus on North American and UK markets at the expense of deeper DACH penetration. Their German marketing materials remain English-language with automated translation, making them unattractive to German-speaking IT directors and CTOs who value local language support. We anticipate that Monday.com will increase DACH investment in 2025-2026 to address market expansion objectives, but we do not expect material competitive pressure from this company in the near term. Our win rate against Monday.com remains strong at 73%, likely because customers comparing Monday.com to NovaTech are often motivated by project management focus rather than all-in-one workspace breadth.</w:t>
      </w:r>
    </w:p>
    <w:p>
      <w:pPr>
        <w:pStyle w:val="Normal"/>
        <w:spacing w:after="120" w:line="360"/>
        <w:jc w:val="left"/>
      </w:pPr>
      <w:r>
        <w:t xml:space="preserve">ClickUp, conversely, launched an aggressive "All-in-One Workspace" campaign targeting organizations using multiple tools (separate project management, CRM, document collaboration), emphasizing workspace consolidation and tool elimination value proposition. This messaging resonates with some prospect segments but appears to confuse others given the breadth of ClickUp's platform and the implied complexity of migrating across multiple tool categories simultaneously. Our sales team reports that ClickUp frequently emerges in competitive evaluations, but win rates against ClickUp remain strong at 73% due to NovaTech's superior project management focus and vertical specialization capabilities.</w:t>
      </w:r>
    </w:p>
    <w:p>
      <w:pPr>
        <w:pStyle w:val="Normal"/>
        <w:spacing w:after="120" w:line="360"/>
        <w:jc w:val="left"/>
      </w:pPr>
      <w:r>
        <w:t xml:space="preserve">Beyond direct project management competitors, we are monitoring emergence of specialized "spreadsheet killer" solutions and vertical-specific PMO software. Companies such as Lattice (HR-focused people planning) and Kantata (professional services-focused PMO and financial management) are gaining traction in vertical-specific use cases. Kantata in particular represents a meaningful competitive threat for consulting firms given their deep specialization in professional services project costing, billing, and resource management. However, these vertical-specific competitors do not have German language support and do not address the "one platform for all project types and industries" requirement that many of our Tier 1 ABM target accounts express. Our defensibility lies in breadth combined with depth—we serve all project types within a single integrated platform, with GDPR-native architecture and German language support, making us a superior choice to point solutions for organizations seeking a comprehensive primary platform.</w:t>
      </w:r>
    </w:p>
    <w:p>
      <w:pPr>
        <w:spacing w:after="120" w:before="240"/>
      </w:pPr>
      <w:r>
        <w:t xml:space="preserve">STRATEGIC INITIATIVES FOR LONG-TERM COMPETITIVE POSITIONING</w:t>
      </w:r>
    </w:p>
    <w:p>
      <w:pPr>
        <w:pStyle w:val="Normal"/>
        <w:spacing w:after="120" w:line="360"/>
        <w:jc w:val="left"/>
      </w:pPr>
      <w:r>
        <w:t xml:space="preserve">Beyond the tactical Q2 recommendations and channel-specific optimizations, we recommend three strategic initiatives for sustained performance improvement over the 2025 full year and into 2026.</w:t>
      </w:r>
    </w:p>
    <w:p>
      <w:pPr>
        <w:pStyle w:val="Normal"/>
        <w:spacing w:after="120" w:line="360"/>
        <w:jc w:val="left"/>
      </w:pPr>
      <w:r>
        <w:t xml:space="preserve">Strategic Initiative 1: Build First-Party Data Advantage. The ongoing deprecation of third-party cookies and increasing regulatory restrictions on advertising targeting make first-party data increasingly valuable and strategically important. We should accelerate investment in tools and processes to capture rich first-party data about prospect companies, personas, and engagement behaviors. Recommended tactics include: implementing account-based email nurture with progressive profiling to incrementally deepen company and persona data; building a customer community and user group program that generates continuous engagement signals and feedback; creating subscription models for industry research and benchmarking data that funnel engaged prospects into our sales process; implementing predictive lead scoring to identify highest-probability conversion targets. By building proprietary first-party data advantage and reducing reliance on platform-provided audiences, we create defensible competitive moats and improve marketing efficiency as platform targeting restrictions increase.</w:t>
      </w:r>
    </w:p>
    <w:p>
      <w:pPr>
        <w:pStyle w:val="Normal"/>
        <w:spacing w:after="120" w:line="360"/>
        <w:jc w:val="left"/>
      </w:pPr>
      <w:r>
        <w:t xml:space="preserve">Strategic Initiative 2: Develop Deep Vertical Industry Stacks. Rather than positioning NovaTech as a horizontal project management platform, we should develop deep vertical specialization for target industries. For logistics companies, we should develop industry-specific packages bundling our project management platform with logistics-specific templates, pre-built integrations with logistics software (TMS systems, WMS platforms), and logistics-specific benchmarking and best-practice data. Similar vertical stacks should be developed for manufacturing and consulting. This vertical focus approach creates customer stickiness, enables premium pricing (estimated 15-20% ACV premium for vertical packages), supports higher average contract values, and provides differentiated positioning versus horizontal competitors like Asana and Monday.com who cannot serve vertical needs comprehensively. Over 2025-2026, vertical stacks should contribute 35-40% of new customer acquisitions and support meaningful gross margin expansion through reduced implementation services requirements.</w:t>
      </w:r>
    </w:p>
    <w:p>
      <w:pPr>
        <w:pStyle w:val="Normal"/>
        <w:spacing w:after="120" w:line="360"/>
        <w:jc w:val="left"/>
      </w:pPr>
      <w:r>
        <w:t xml:space="preserve">Strategic Initiative 3: Invest in Customer Success and Advocacy Program Development. Leading SaaS organizations increasingly recognize that customer success and advocacy generates more qualified leads at lower cost than traditional demand generation. We should accelerate investment in building customer success team dedicated to ensuring customer value realization, adoption, and expansion opportunities. As customers achieve success with NovaTech, they become advocates and references in sales cycles, dramatically accelerating new customer acquisitions. Recommended initiatives include: formalizing customer reference program with structured value-add for participating customers; creating customer advisory board providing feedback on product direction and roadmap; developing partner ecosystem of implementation service providers and technology integrations partners who amplify our go-to-market capabilities. Over time, customer-generated leads and referrals should represent 20-25% of annual pipeline, reducing reliance on paid marketing and improving overall unit economics. This strategic shift from purely demand-generation focused marketing to integrated customer success and advocacy approach is critical to long-term scalability and profitability.</w:t>
      </w:r>
    </w:p>
    <w:p>
      <w:pPr>
        <w:spacing w:after="120" w:before="240"/>
      </w:pPr>
      <w:r>
        <w:t xml:space="preserve">CONCLUSION &amp; OUTLOOK</w:t>
      </w:r>
    </w:p>
    <w:p>
      <w:pPr>
        <w:pStyle w:val="Normal"/>
        <w:spacing w:after="120" w:line="360"/>
        <w:jc w:val="left"/>
      </w:pPr>
      <w:r>
        <w:t xml:space="preserve">The Q1 2025 results represent an exceptional performance across all primary marketing metrics. We exceeded lead generation targets, achieved ROAS above annual objectives, generated pipeline exceeding quarterly expectations, and established strong momentum toward the €9.5M ARR 2025 target. More importantly, the underlying data reveals encouraging trends: market demand for our solution is stronger than anticipated, our target personas are highly responsive to our messaging, and our channel-specific optimizations are yielding measurable improvements in efficiency.</w:t>
      </w:r>
    </w:p>
    <w:p>
      <w:pPr>
        <w:pStyle w:val="Normal"/>
        <w:spacing w:after="120" w:line="360"/>
        <w:jc w:val="left"/>
      </w:pPr>
      <w:r>
        <w:t xml:space="preserve">The Q1 performance also revealed important optimization opportunities. Several channels—particularly LinkedIn Lead Generation Forms, Display Retargeting, and Content Syndication—underperformed and warrant either strategic optimization or budget reallocation. The detailed channel analysis provided in this report identifies specific, actionable improvements that can be implemented in Q2 to drive incremental performance gains. By implementing the six tactical recommendations outlined in the Q2 Recommendations section, we project MQL volume improvements of 19.5%, CPA reduction of 4.9%, and overall ROAS improvement of 12.5%.</w:t>
      </w:r>
    </w:p>
    <w:p>
      <w:pPr>
        <w:pStyle w:val="Normal"/>
        <w:spacing w:after="120" w:line="360"/>
        <w:jc w:val="left"/>
      </w:pPr>
      <w:r>
        <w:t xml:space="preserve">Looking forward to H2 2025 and into 2026, the strategic initiatives outlined in this report—first-party data advantage building, vertical industry stack development, and customer success and advocacy program development—are critical to sustaining growth beyond the current fiscal year. The €9.5M ARR 2025 target is achievable with disciplined execution of the 2025 marketing strategy. However, realizing even more ambitious growth targets in 2026 (€15M+ ARR) will require execution of these strategic initiatives to diversify our lead sources, reduce reliance on paid media, and build defensible competitive advantages.</w:t>
      </w:r>
    </w:p>
    <w:p>
      <w:pPr>
        <w:pStyle w:val="Normal"/>
        <w:spacing w:after="120" w:line="360"/>
        <w:jc w:val="left"/>
      </w:pPr>
      <w:r>
        <w:t xml:space="preserve">The organization should maintain confidence in our 2025 marketing strategy while remaining agile and responsive to market dynamics. If competitive intensity increases as expected, if regulatory restrictions on advertising targeting accelerate as anticipated, or if market conditions change materially, we have built sufficient flexibility into the strategy to adjust channel mix, creative approach, and account targeting to maintain progress toward our targets. The channel optimization framework, detailed data tracking, and monthly business reviews create the feedback loops necessary to identify and respond to changes quickly.</w:t>
      </w:r>
    </w:p>
    <w:p>
      <w:pPr>
        <w:pStyle w:val="Normal"/>
        <w:spacing w:after="120" w:line="360"/>
        <w:jc w:val="left"/>
      </w:pPr>
      <w:r>
        <w:t xml:space="preserve">In summary, Q1 2025 marketing delivered exceptional results validating our strategy and positioning us strongly for continued growth throughout 2025. The detailed recommendations provided in this report provide a clear roadmap for Q2 optimization and strategic expansion. With continued disciplined execution, market-responsive agility, and investment in long-term competitive advantages, NovaTech is well-positioned to achieve our 2025 growth targets and establish the foundation for sustained growth into 2026 and beyond.</w:t>
      </w:r>
    </w:p>
    <w:p>
      <w:pPr>
        <w:spacing w:after="120" w:before="240"/>
      </w:pPr>
      <w:r>
        <w:t xml:space="preserve">Q1 KEY METRICS SUMMARY TABLE</w:t>
      </w:r>
    </w:p>
    <w:tbl>
      <w:tblPr>
        <w:tblW w:type="pct" w:w="100%"/>
        <w:tblBorders>
          <w:top w:val="single" w:color="999999" w:sz="6"/>
          <w:left w:val="single" w:color="999999" w:sz="6"/>
          <w:bottom w:val="single" w:color="999999" w:sz="6"/>
          <w:right w:val="single" w:color="999999" w:sz="6"/>
          <w:insideH w:val="single" w:color="CCCCCC" w:sz="6"/>
          <w:insideV w:val="single" w:color="CCCCCC" w:sz="6"/>
        </w:tblBorders>
      </w:tblPr>
      <w:tblGrid>
        <w:gridCol w:w="100"/>
        <w:gridCol w:w="100"/>
        <w:gridCol w:w="100"/>
        <w:gridCol w:w="100"/>
        <w:gridCol w:w="100"/>
      </w:tblGrid>
      <w:tr>
        <w:tc>
          <w:tcPr>
            <w:shd w:color="E8E8E8" w:val="clear"/>
            <w:vAlign w:val="center"/>
          </w:tcPr>
          <w:p>
            <w:r>
              <w:t xml:space="preserve">Metric</w:t>
            </w:r>
          </w:p>
        </w:tc>
        <w:tc>
          <w:tcPr>
            <w:shd w:color="E8E8E8" w:val="clear"/>
            <w:vAlign w:val="center"/>
          </w:tcPr>
          <w:p>
            <w:r>
              <w:t xml:space="preserve">Q1 Actual</w:t>
            </w:r>
          </w:p>
        </w:tc>
        <w:tc>
          <w:tcPr>
            <w:shd w:color="E8E8E8" w:val="clear"/>
            <w:vAlign w:val="center"/>
          </w:tcPr>
          <w:p>
            <w:r>
              <w:t xml:space="preserve">Q1 Target</w:t>
            </w:r>
          </w:p>
        </w:tc>
        <w:tc>
          <w:tcPr>
            <w:shd w:color="E8E8E8" w:val="clear"/>
            <w:vAlign w:val="center"/>
          </w:tcPr>
          <w:p>
            <w:r>
              <w:t xml:space="preserve">Variance</w:t>
            </w:r>
          </w:p>
        </w:tc>
        <w:tc>
          <w:tcPr>
            <w:shd w:color="E8E8E8" w:val="clear"/>
            <w:vAlign w:val="center"/>
          </w:tcPr>
          <w:p>
            <w:r>
              <w:t xml:space="preserve">FY Target</w:t>
            </w:r>
          </w:p>
        </w:tc>
      </w:tr>
      <w:tr>
        <w:tc>
          <w:tcPr>
            <w:vAlign w:val="center"/>
          </w:tcPr>
          <w:p>
            <w:r>
              <w:t xml:space="preserve">Total Marketing Budget</w:t>
            </w:r>
          </w:p>
        </w:tc>
        <w:tc>
          <w:tcPr>
            <w:vAlign w:val="center"/>
          </w:tcPr>
          <w:p>
            <w:r>
              <w:t xml:space="preserve">€225,000</w:t>
            </w:r>
          </w:p>
        </w:tc>
        <w:tc>
          <w:tcPr>
            <w:vAlign w:val="center"/>
          </w:tcPr>
          <w:p>
            <w:r>
              <w:t xml:space="preserve">€225,000</w:t>
            </w:r>
          </w:p>
        </w:tc>
        <w:tc>
          <w:tcPr>
            <w:vAlign w:val="center"/>
          </w:tcPr>
          <w:p>
            <w:r>
              <w:t xml:space="preserve">0%</w:t>
            </w:r>
          </w:p>
        </w:tc>
        <w:tc>
          <w:tcPr>
            <w:vAlign w:val="center"/>
          </w:tcPr>
          <w:p>
            <w:r>
              <w:t xml:space="preserve">€900,000</w:t>
            </w:r>
          </w:p>
        </w:tc>
      </w:tr>
      <w:tr>
        <w:tc>
          <w:tcPr>
            <w:vAlign w:val="center"/>
          </w:tcPr>
          <w:p>
            <w:r>
              <w:t xml:space="preserve">MQLs Generated</w:t>
            </w:r>
          </w:p>
        </w:tc>
        <w:tc>
          <w:tcPr>
            <w:vAlign w:val="center"/>
          </w:tcPr>
          <w:p>
            <w:r>
              <w:t xml:space="preserve">1,523</w:t>
            </w:r>
          </w:p>
        </w:tc>
        <w:tc>
          <w:tcPr>
            <w:vAlign w:val="center"/>
          </w:tcPr>
          <w:p>
            <w:r>
              <w:t xml:space="preserve">1,400</w:t>
            </w:r>
          </w:p>
        </w:tc>
        <w:tc>
          <w:tcPr>
            <w:vAlign w:val="center"/>
          </w:tcPr>
          <w:p>
            <w:r>
              <w:t xml:space="preserve">+8.8%</w:t>
            </w:r>
          </w:p>
        </w:tc>
        <w:tc>
          <w:tcPr>
            <w:vAlign w:val="center"/>
          </w:tcPr>
          <w:p>
            <w:r>
              <w:t xml:space="preserve">18,200</w:t>
            </w:r>
          </w:p>
        </w:tc>
      </w:tr>
      <w:tr>
        <w:tc>
          <w:tcPr>
            <w:vAlign w:val="center"/>
          </w:tcPr>
          <w:p>
            <w:r>
              <w:t xml:space="preserve">SQLs Generated</w:t>
            </w:r>
          </w:p>
        </w:tc>
        <w:tc>
          <w:tcPr>
            <w:vAlign w:val="center"/>
          </w:tcPr>
          <w:p>
            <w:r>
              <w:t xml:space="preserve">389</w:t>
            </w:r>
          </w:p>
        </w:tc>
        <w:tc>
          <w:tcPr>
            <w:vAlign w:val="center"/>
          </w:tcPr>
          <w:p>
            <w:r>
              <w:t xml:space="preserve">350</w:t>
            </w:r>
          </w:p>
        </w:tc>
        <w:tc>
          <w:tcPr>
            <w:vAlign w:val="center"/>
          </w:tcPr>
          <w:p>
            <w:r>
              <w:t xml:space="preserve">+11.1%</w:t>
            </w:r>
          </w:p>
        </w:tc>
        <w:tc>
          <w:tcPr>
            <w:vAlign w:val="center"/>
          </w:tcPr>
          <w:p>
            <w:r>
              <w:t xml:space="preserve">4,650</w:t>
            </w:r>
          </w:p>
        </w:tc>
      </w:tr>
      <w:tr>
        <w:tc>
          <w:tcPr>
            <w:vAlign w:val="center"/>
          </w:tcPr>
          <w:p>
            <w:r>
              <w:t xml:space="preserve">Customers Acquired</w:t>
            </w:r>
          </w:p>
        </w:tc>
        <w:tc>
          <w:tcPr>
            <w:vAlign w:val="center"/>
          </w:tcPr>
          <w:p>
            <w:r>
              <w:t xml:space="preserve">62</w:t>
            </w:r>
          </w:p>
        </w:tc>
        <w:tc>
          <w:tcPr>
            <w:vAlign w:val="center"/>
          </w:tcPr>
          <w:p>
            <w:r>
              <w:t xml:space="preserve">58</w:t>
            </w:r>
          </w:p>
        </w:tc>
        <w:tc>
          <w:tcPr>
            <w:vAlign w:val="center"/>
          </w:tcPr>
          <w:p>
            <w:r>
              <w:t xml:space="preserve">+6.9%</w:t>
            </w:r>
          </w:p>
        </w:tc>
        <w:tc>
          <w:tcPr>
            <w:vAlign w:val="center"/>
          </w:tcPr>
          <w:p>
            <w:r>
              <w:t xml:space="preserve">290</w:t>
            </w:r>
          </w:p>
        </w:tc>
      </w:tr>
      <w:tr>
        <w:tc>
          <w:tcPr>
            <w:vAlign w:val="center"/>
          </w:tcPr>
          <w:p>
            <w:r>
              <w:t xml:space="preserve">Pipeline Generated (ARR)</w:t>
            </w:r>
          </w:p>
        </w:tc>
        <w:tc>
          <w:tcPr>
            <w:vAlign w:val="center"/>
          </w:tcPr>
          <w:p>
            <w:r>
              <w:t xml:space="preserve">€5.1M</w:t>
            </w:r>
          </w:p>
        </w:tc>
        <w:tc>
          <w:tcPr>
            <w:vAlign w:val="center"/>
          </w:tcPr>
          <w:p>
            <w:r>
              <w:t xml:space="preserve">€4.7M</w:t>
            </w:r>
          </w:p>
        </w:tc>
        <w:tc>
          <w:tcPr>
            <w:vAlign w:val="center"/>
          </w:tcPr>
          <w:p>
            <w:r>
              <w:t xml:space="preserve">+8.5%</w:t>
            </w:r>
          </w:p>
        </w:tc>
        <w:tc>
          <w:tcPr>
            <w:vAlign w:val="center"/>
          </w:tcPr>
          <w:p>
            <w:r>
              <w:t xml:space="preserve">€11.8M</w:t>
            </w:r>
          </w:p>
        </w:tc>
      </w:tr>
      <w:tr>
        <w:tc>
          <w:tcPr>
            <w:vAlign w:val="center"/>
          </w:tcPr>
          <w:p>
            <w:r>
              <w:t xml:space="preserve">Blended ROAS</w:t>
            </w:r>
          </w:p>
        </w:tc>
        <w:tc>
          <w:tcPr>
            <w:vAlign w:val="center"/>
          </w:tcPr>
          <w:p>
            <w:r>
              <w:t xml:space="preserve">3.2x</w:t>
            </w:r>
          </w:p>
        </w:tc>
        <w:tc>
          <w:tcPr>
            <w:vAlign w:val="center"/>
          </w:tcPr>
          <w:p>
            <w:r>
              <w:t xml:space="preserve">2.9x</w:t>
            </w:r>
          </w:p>
        </w:tc>
        <w:tc>
          <w:tcPr>
            <w:vAlign w:val="center"/>
          </w:tcPr>
          <w:p>
            <w:r>
              <w:t xml:space="preserve">+110bps</w:t>
            </w:r>
          </w:p>
        </w:tc>
        <w:tc>
          <w:tcPr>
            <w:vAlign w:val="center"/>
          </w:tcPr>
          <w:p>
            <w:r>
              <w:t xml:space="preserve">2.9x</w:t>
            </w:r>
          </w:p>
        </w:tc>
      </w:tr>
      <w:tr>
        <w:tc>
          <w:tcPr>
            <w:vAlign w:val="center"/>
          </w:tcPr>
          <w:p>
            <w:r>
              <w:t xml:space="preserve">Average CPL</w:t>
            </w:r>
          </w:p>
        </w:tc>
        <w:tc>
          <w:tcPr>
            <w:vAlign w:val="center"/>
          </w:tcPr>
          <w:p>
            <w:r>
              <w:t xml:space="preserve">€148</w:t>
            </w:r>
          </w:p>
        </w:tc>
        <w:tc>
          <w:tcPr>
            <w:vAlign w:val="center"/>
          </w:tcPr>
          <w:p>
            <w:r>
              <w:t xml:space="preserve">€151</w:t>
            </w:r>
          </w:p>
        </w:tc>
        <w:tc>
          <w:tcPr>
            <w:vAlign w:val="center"/>
          </w:tcPr>
          <w:p>
            <w:r>
              <w:t xml:space="preserve">-2%</w:t>
            </w:r>
          </w:p>
        </w:tc>
        <w:tc>
          <w:tcPr>
            <w:vAlign w:val="center"/>
          </w:tcPr>
          <w:p>
            <w:r>
              <w:t xml:space="preserve">€49</w:t>
            </w:r>
          </w:p>
        </w:tc>
      </w:tr>
      <w:tr>
        <w:tc>
          <w:tcPr>
            <w:vAlign w:val="center"/>
          </w:tcPr>
          <w:p>
            <w:r>
              <w:t xml:space="preserve">Average CPA</w:t>
            </w:r>
          </w:p>
        </w:tc>
        <w:tc>
          <w:tcPr>
            <w:vAlign w:val="center"/>
          </w:tcPr>
          <w:p>
            <w:r>
              <w:t xml:space="preserve">€82</w:t>
            </w:r>
          </w:p>
        </w:tc>
        <w:tc>
          <w:tcPr>
            <w:vAlign w:val="center"/>
          </w:tcPr>
          <w:p>
            <w:r>
              <w:t xml:space="preserve">€88</w:t>
            </w:r>
          </w:p>
        </w:tc>
        <w:tc>
          <w:tcPr>
            <w:vAlign w:val="center"/>
          </w:tcPr>
          <w:p>
            <w:r>
              <w:t xml:space="preserve">-6.8%</w:t>
            </w:r>
          </w:p>
        </w:tc>
        <w:tc>
          <w:tcPr>
            <w:vAlign w:val="center"/>
          </w:tcPr>
          <w:p>
            <w:r>
              <w:t xml:space="preserve">€88</w:t>
            </w:r>
          </w:p>
        </w:tc>
      </w:tr>
      <w:tr>
        <w:tc>
          <w:tcPr>
            <w:vAlign w:val="center"/>
          </w:tcPr>
          <w:p>
            <w:r>
              <w:t xml:space="preserve">Average Sales Cycle</w:t>
            </w:r>
          </w:p>
        </w:tc>
        <w:tc>
          <w:tcPr>
            <w:vAlign w:val="center"/>
          </w:tcPr>
          <w:p>
            <w:r>
              <w:t xml:space="preserve">78 days</w:t>
            </w:r>
          </w:p>
        </w:tc>
        <w:tc>
          <w:tcPr>
            <w:vAlign w:val="center"/>
          </w:tcPr>
          <w:p>
            <w:r>
              <w:t xml:space="preserve">85 days</w:t>
            </w:r>
          </w:p>
        </w:tc>
        <w:tc>
          <w:tcPr>
            <w:vAlign w:val="center"/>
          </w:tcPr>
          <w:p>
            <w:r>
              <w:t xml:space="preserve">-8.2%</w:t>
            </w:r>
          </w:p>
        </w:tc>
        <w:tc>
          <w:tcPr>
            <w:vAlign w:val="center"/>
          </w:tcPr>
          <w:p>
            <w:r>
              <w:t xml:space="preserve">75 days</w:t>
            </w:r>
          </w:p>
        </w:tc>
      </w:tr>
      <w:tr>
        <w:tc>
          <w:tcPr>
            <w:vAlign w:val="center"/>
          </w:tcPr>
          <w:p>
            <w:r>
              <w:t xml:space="preserve">MQL-to-SQL Conversion</w:t>
            </w:r>
          </w:p>
        </w:tc>
        <w:tc>
          <w:tcPr>
            <w:vAlign w:val="center"/>
          </w:tcPr>
          <w:p>
            <w:r>
              <w:t xml:space="preserve">25.6%</w:t>
            </w:r>
          </w:p>
        </w:tc>
        <w:tc>
          <w:tcPr>
            <w:vAlign w:val="center"/>
          </w:tcPr>
          <w:p>
            <w:r>
              <w:t xml:space="preserve">25.0%</w:t>
            </w:r>
          </w:p>
        </w:tc>
        <w:tc>
          <w:tcPr>
            <w:vAlign w:val="center"/>
          </w:tcPr>
          <w:p>
            <w:r>
              <w:t xml:space="preserve">+60bps</w:t>
            </w:r>
          </w:p>
        </w:tc>
        <w:tc>
          <w:tcPr>
            <w:vAlign w:val="center"/>
          </w:tcPr>
          <w:p>
            <w:r>
              <w:t xml:space="preserve">25.5%</w:t>
            </w:r>
          </w:p>
        </w:tc>
      </w:tr>
    </w:tbl>
    <w:p>
      <w:pPr>
        <w:pStyle w:val="Normal"/>
        <w:spacing w:after="120" w:line="360"/>
        <w:jc w:val="left"/>
      </w:pPr>
      <w:r>
        <w:t xml:space="preserve">The metrics summary table above provides a consolidated view of Q1 performance against target. The positive variance across virtually all metrics (MQL volume +8.8%, customer acquisition +6.9%, ROAS +110 basis points, improved sales cycle velocity) demonstrates strong execution by the marketing and sales teams. Most importantly, the momentum established in Q1 provides confidence that the full-year €9.5M ARR target is within reach and may even prove conservative if market conditions remain favorable and optimizations are executed as planned.</w:t>
      </w:r>
    </w:p>
    <w:p>
      <w:pPr>
        <w:spacing w:after="120" w:before="240"/>
      </w:pPr>
      <w:r>
        <w:t xml:space="preserve">MEASUREMENT, MONITORING &amp; CONTINUOUS OPTIMIZATION</w:t>
      </w:r>
    </w:p>
    <w:p>
      <w:pPr>
        <w:pStyle w:val="Normal"/>
        <w:spacing w:after="120" w:line="360"/>
        <w:jc w:val="left"/>
      </w:pPr>
      <w:r>
        <w:t xml:space="preserve">The marketing measurement and optimization framework established for 2025 is designed to enable continuous improvement throughout the year. We have implemented HubSpot as the central system of record for all marketing and sales data, enabling real-time visibility into lead flow, conversion rates, and attribution. Monthly reporting dashboards tracked by channel provide visibility into key metrics including spend, MQL volume, ROAS, and CPA. These dashboards are distributed to marketing and sales leadership on the 5th business day of each month, enabling rapid identification of performance trends and decision-making about budget adjustments or campaign optimizations.</w:t>
      </w:r>
    </w:p>
    <w:p>
      <w:pPr>
        <w:pStyle w:val="Normal"/>
        <w:spacing w:after="120" w:line="360"/>
        <w:jc w:val="left"/>
      </w:pPr>
      <w:r>
        <w:t xml:space="preserve">Quarterly business reviews with sales leadership assess full-quarter performance, review pipeline cohort quality and velocity by marketing source, and jointly identify optimization opportunities. The first Q1 QBR revealed that while overall metrics exceeded targets, significant variation existed by channel and by sales rep, suggesting that lead quality was highly variable depending on which rep received the lead. This insight informed the decision to conduct deeper lead quality analysis (provided in Customer Acquisition Cost Analysis section above) and to develop sales rep-specific coaching on effective lead qualification.</w:t>
      </w:r>
    </w:p>
    <w:p>
      <w:pPr>
        <w:pStyle w:val="Normal"/>
        <w:spacing w:after="120" w:line="360"/>
        <w:jc w:val="left"/>
      </w:pPr>
      <w:r>
        <w:t xml:space="preserve">We have also established a formalized decision framework for budget reallocation and channel optimization. Any channel showing negative variance to ROAS or CPA targets by more than 20% for two consecutive months triggers a diagnostic review. The diagnostic process involves analyzing the underlying cost drivers (CPCs rising due to competition? CTRs declining due to creative fatigue? Conversion rates declining due to audience creep?), identifying root cause, and determining whether the channel should be reallocated (budget moved to higher-performing alternatives), optimized (creative refresh, audience refinement), or paused. This structured diagnostic approach prevents emotional decision-making and ensures optimization resources are allocated to highest-potential improvements.</w:t>
      </w:r>
    </w:p>
    <w:p>
      <w:pPr>
        <w:pStyle w:val="Normal"/>
        <w:spacing w:after="120" w:line="360"/>
        <w:jc w:val="left"/>
      </w:pPr>
      <w:r>
        <w:t xml:space="preserve">Looking forward, we will enhance our measurement capability in H2 2025 to include more sophisticated attribution modeling and customer lifetime value analysis. Currently, we use a simplified first-touch, last-touch, multi-touch attribution model. More sophisticated cohort-based attribution analysis would enable us to understand the unique contribution of each channel and campaign more precisely. Additionally, integrating customer success and renewal data into our attribution model would enable us to measure not just lead generation and customer acquisition, but also the ultimate business value generated by customers sourced from each channel. Channels generating customers with higher lifetime value, better retention, and higher expansion revenue should be valued and allocated budget accordingly, rather than purely on basis of lead generation cost.</w:t>
      </w:r>
    </w:p>
    <w:p>
      <w:pPr>
        <w:spacing w:after="120" w:before="240"/>
      </w:pPr>
      <w:r>
        <w:t xml:space="preserve">Q2 2025 RECOMMENDATIONS</w:t>
      </w:r>
    </w:p>
    <w:p>
      <w:pPr>
        <w:pStyle w:val="Normal"/>
        <w:spacing w:after="120" w:line="360"/>
        <w:jc w:val="left"/>
      </w:pPr>
      <w:r>
        <w:t xml:space="preserve">Based on Q1 performance analysis, we recommend six specific strategic adjustments for Q2 execution. These recommendations are sequenced by priority and include specific financial impacts and success metrics.</w:t>
      </w:r>
    </w:p>
    <w:p>
      <w:pPr>
        <w:pStyle w:val="Normal"/>
        <w:spacing w:after="120" w:line="360"/>
        <w:jc w:val="left"/>
      </w:pPr>
      <w:r>
        <w:t xml:space="preserve">Recommendation 1: Expand Tier 1 ABM program from 250 to 400 target accounts (+€32,000 Q2 incremental budget, expected ROI: 4.2x). The exceptional Q1 performance of Tier 1 ABM (387 meetings, 155% of target) demonstrates that this channel has substantially higher return potential than originally projected. By expanding to 400 accounts and allocating an incremental €32,000 in Q2 budget, we can generate an additional 60 meetings and 10–12 customers. This expansion represents the highest-priority investment for Q2 and is expected to drive €300K-€360K in incremental annual recurring revenue.</w:t>
      </w:r>
    </w:p>
    <w:p>
      <w:pPr>
        <w:pStyle w:val="Normal"/>
        <w:spacing w:after="120" w:line="360"/>
        <w:jc w:val="left"/>
      </w:pPr>
      <w:r>
        <w:t xml:space="preserve">Recommendation 2: Reallocate budget from underperforming channels to proven high-performers (€34,000 reallocation from Content Syndication, Display, LinkedIn Lead Gen Forms to Google Search and ABM). Content Syndication, Display, and LinkedIn Lead Gen Forms combined consumed 16.4% of Q1 budget while generating only 7.2% of MQLs. By reallocating €34,000 from these underperforming channels to Google Search (€18,000) and Tier 2 ABM (€16,000), we expect to increase overall marketing ROAS by 0.3–0.4x with no change to total budget. This reallocation directly reflects learnings from Q1 performance analysis and represents an immediate, low-risk optimization.</w:t>
      </w:r>
    </w:p>
    <w:p>
      <w:pPr>
        <w:pStyle w:val="Normal"/>
        <w:spacing w:after="120" w:line="360"/>
        <w:jc w:val="left"/>
      </w:pPr>
      <w:r>
        <w:t xml:space="preserve">Recommendation 3: Develop 12 new pieces of educational content aligned with top-performing creative themes (+€12,000 content development budget). Q1 creative analysis revealed that educational content addressing problem identification achieved 25% higher conversion rates than average creative. Developing 12 additional pieces of high-quality educational content (blog posts, whitepapers, webinar presentations) will create inventory of high-performing assets for Q2 campaigns and beyond. This content investment is expected to improve overall creative performance by 8-12% by Q3.</w:t>
      </w:r>
    </w:p>
    <w:p>
      <w:pPr>
        <w:pStyle w:val="Normal"/>
        <w:spacing w:after="120" w:line="360"/>
        <w:jc w:val="left"/>
      </w:pPr>
      <w:r>
        <w:t xml:space="preserve">Recommendation 4: Implement creative testing protocol with bi-weekly creative refreshes and controlled A/B tests (+€6,000 testing and optimization budget). Currently, we run the same creative throughout campaign periods without systematic testing or refreshing. By implementing a structured testing protocol—rotating new creative variants weekly, measuring performance, and doubling down on winners—we expect to achieve 8–12% improvement in overall campaign ROAS. This protocol requires modest incremental budget but creates systematic improvement capability.</w:t>
      </w:r>
    </w:p>
    <w:p>
      <w:pPr>
        <w:pStyle w:val="Normal"/>
        <w:spacing w:after="120" w:line="360"/>
        <w:jc w:val="left"/>
      </w:pPr>
      <w:r>
        <w:t xml:space="preserve">Recommendation 5: Expand vertical-specific messaging for Google Generic search, increasing budget allocation to "project management for [industry]" long-tail keywords (+€15,000 reallocation from generic terms). Q1 analysis identified that vertical-specific long-tail keywords achieve 5.8x ROAS compared to 3.1x for generic keywords. By allocating additional budget to these keywords, we expect to improve overall Google generic search ROAS from 3.1x to 3.8x. This budget reallocation is expected to generate an additional €150K-€200K in incremental pipeline.</w:t>
      </w:r>
    </w:p>
    <w:p>
      <w:pPr>
        <w:pStyle w:val="Normal"/>
        <w:spacing w:after="120" w:line="360"/>
        <w:jc w:val="left"/>
      </w:pPr>
      <w:r>
        <w:t xml:space="preserve">Recommendation 6: Discontinue Monday.com competitor campaigns and deprioritize Content Syndication; instead focus competitor budget on Asana conquest and spreadsheet migration messaging (-€5,000). Monday.com campaigns generated zero customers in Q1 despite €5,000 investment. Content Syndication generated poor-quality leads at low conversion rates. Reallocating this budget to Asana conquest and to campaigns targeting organizations currently using spreadsheets will improve overall ROAS with minimal execution complexity. Early tests of spreadsheet conquest messaging showed 4.2x ROAS, substantially above budget averages.</w:t>
      </w:r>
    </w:p>
    <w:p>
      <w:pPr>
        <w:pStyle w:val="Normal"/>
        <w:spacing w:after="120" w:line="360"/>
        <w:jc w:val="left"/>
      </w:pPr>
      <w:r>
        <w:t xml:space="preserve">Implementing these six recommendations will increase Q2 total marketing budget from €225,000 to €267,000 (including ABM expansion, content development, and testing), but is expected to increase MQLs from 1,523 to 1,820 (19.5% improvement), reduce blended CPA from €82 to €78 (4.9% improvement), and increase ROAS from 3.2x to 3.6x (12.5% improvement). The incremental €42,000 in Q2 investment should generate an additional €168,000 in incremental pipeline value (€42K × 4.0x implied ROAS on incremental spend), representing a 4.0x return on the incremental investment. Cumulatively, the six recommendations position NovaTech to accelerate toward our €9.5M ARR 2025 target and to establish foundation for sustained growth into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2026-04-13T11:51:04.495Z</dcterms:created>
  <dcterms:modified xsi:type="dcterms:W3CDTF">2026-04-13T11:51:04.496Z</dcterms:modified>
</cp:coreProperties>
</file>

<file path=docProps/custom.xml><?xml version="1.0" encoding="utf-8"?>
<Properties xmlns="http://schemas.openxmlformats.org/officeDocument/2006/custom-properties" xmlns:vt="http://schemas.openxmlformats.org/officeDocument/2006/docPropsVTypes"/>
</file>