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701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9354"/>
      </w:tblGrid>
      <w:tr>
        <w:trPr>
          <w:trHeight w:val="300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354" w:type="dxa"/>
            <w:vAlign w:val="center"/>
            <w:noWrap/>
          </w:tcPr>
          <w:p w14:paraId="78E2ADE8"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2"/>
              </w:rPr>
            </w:r>
            <w:r/>
          </w:p>
        </w:tc>
      </w:tr>
    </w:tbl>
    <w:tbl>
      <w:tblPr>
        <w:tblStyle w:val="701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9354"/>
      </w:tblGrid>
      <w:tr>
        <w:trPr>
          <w:trHeight w:val="300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354" w:type="dxa"/>
            <w:vAlign w:val="bottom"/>
            <w:noWrap/>
          </w:tcPr>
          <w:p w14:paraId="6AF87B6F"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2"/>
              </w:rPr>
              <w:t xml:space="preserve">Practice creating and using AMIs to launch custom EC2 instances with pre-configured software and settings.</w:t>
            </w:r>
            <w:r/>
          </w:p>
        </w:tc>
      </w:tr>
    </w:tbl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664418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341361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46644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367.28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2026-07-26T20:44:51Z</dcterms:modified>
</cp:coreProperties>
</file>