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74EC358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an ASG and configure scaling policies based on different metrics, such as CPU utilization or network traffic.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65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772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32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9.4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2026-07-26T20:48:12Z</dcterms:modified>
</cp:coreProperties>
</file>