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570f43fa59d2d0a0cbb7057137973098e605873"/>
    <w:p>
      <w:pPr>
        <w:pStyle w:val="Heading1"/>
      </w:pPr>
      <w:r>
        <w:t xml:space="preserve">Chapitre 2: Les Différents LLMs et leurs Caractéristiques</w:t>
      </w:r>
    </w:p>
    <w:bookmarkStart w:id="24" w:name="modèles-open-source-mistral-llama-etc."/>
    <w:p>
      <w:pPr>
        <w:pStyle w:val="Heading2"/>
      </w:pPr>
      <w:r>
        <w:t xml:space="preserve">2.1 Modèles Open Source (Mistral, LLaMA, etc.)</w:t>
      </w:r>
    </w:p>
    <w:bookmarkStart w:id="20" w:name="principes-de-fonctionnement"/>
    <w:p>
      <w:pPr>
        <w:pStyle w:val="Heading3"/>
      </w:pPr>
      <w:r>
        <w:t xml:space="preserve">Principes de fonctionnement</w:t>
      </w:r>
    </w:p>
    <w:p>
      <w:pPr>
        <w:pStyle w:val="FirstParagraph"/>
      </w:pPr>
      <w:r>
        <w:t xml:space="preserve">Les modèles de langage open source sont des systèmes d’intelligence artificielle dont le code source est accessible au public. Cela signifie que n’importe qui peut les utiliser, les modifier et les distribuer. Ils sont développés par des communautés de chercheurs et de développeurs, et sont souvent publiés sous des licences permissives.</w:t>
      </w:r>
    </w:p>
    <w:bookmarkEnd w:id="20"/>
    <w:bookmarkStart w:id="21" w:name="avantages-et-limitations"/>
    <w:p>
      <w:pPr>
        <w:pStyle w:val="Heading3"/>
      </w:pPr>
      <w:r>
        <w:t xml:space="preserve">Avantages et limitations</w:t>
      </w:r>
    </w:p>
    <w:p>
      <w:pPr>
        <w:pStyle w:val="FirstParagraph"/>
      </w:pPr>
      <w:r>
        <w:rPr>
          <w:bCs/>
          <w:b/>
        </w:rPr>
        <w:t xml:space="preserve">Avantages :</w:t>
      </w:r>
      <w:r>
        <w:t xml:space="preserve"> </w:t>
      </w:r>
      <w:r>
        <w:t xml:space="preserve">-</w:t>
      </w:r>
      <w:r>
        <w:t xml:space="preserve"> </w:t>
      </w:r>
      <w:r>
        <w:rPr>
          <w:bCs/>
          <w:b/>
        </w:rPr>
        <w:t xml:space="preserve">Transparence :</w:t>
      </w:r>
      <w:r>
        <w:t xml:space="preserve"> </w:t>
      </w:r>
      <w:r>
        <w:t xml:space="preserve">Le code source ouvert permet de comprendre le fonctionnement interne du modèle.</w:t>
      </w:r>
      <w:r>
        <w:t xml:space="preserve"> </w:t>
      </w:r>
      <w:r>
        <w:t xml:space="preserve">-</w:t>
      </w:r>
      <w:r>
        <w:t xml:space="preserve"> </w:t>
      </w:r>
      <w:r>
        <w:rPr>
          <w:bCs/>
          <w:b/>
        </w:rPr>
        <w:t xml:space="preserve">Flexibilité :</w:t>
      </w:r>
      <w:r>
        <w:t xml:space="preserve"> </w:t>
      </w:r>
      <w:r>
        <w:t xml:space="preserve">Les utilisateurs peuvent adapter les modèles à leurs besoins spécifiques.</w:t>
      </w:r>
      <w:r>
        <w:t xml:space="preserve"> </w:t>
      </w:r>
      <w:r>
        <w:t xml:space="preserve">-</w:t>
      </w:r>
      <w:r>
        <w:t xml:space="preserve"> </w:t>
      </w:r>
      <w:r>
        <w:rPr>
          <w:bCs/>
          <w:b/>
        </w:rPr>
        <w:t xml:space="preserve">Coût :</w:t>
      </w:r>
      <w:r>
        <w:t xml:space="preserve"> </w:t>
      </w:r>
      <w:r>
        <w:t xml:space="preserve">Ils sont généralement gratuits à utiliser, bien que leur exécution puisse nécessiter des ressources informatiques importantes.</w:t>
      </w:r>
      <w:r>
        <w:t xml:space="preserve"> </w:t>
      </w:r>
      <w:r>
        <w:t xml:space="preserve">-</w:t>
      </w:r>
      <w:r>
        <w:t xml:space="preserve"> </w:t>
      </w:r>
      <w:r>
        <w:rPr>
          <w:bCs/>
          <w:b/>
        </w:rPr>
        <w:t xml:space="preserve">Communauté :</w:t>
      </w:r>
      <w:r>
        <w:t xml:space="preserve"> </w:t>
      </w:r>
      <w:r>
        <w:t xml:space="preserve">Ils bénéficient du soutien d’une large communauté de développeurs qui contribuent à leur amélioration.</w:t>
      </w:r>
    </w:p>
    <w:p>
      <w:pPr>
        <w:pStyle w:val="BodyText"/>
      </w:pPr>
      <w:r>
        <w:rPr>
          <w:bCs/>
          <w:b/>
        </w:rPr>
        <w:t xml:space="preserve">Limitations :</w:t>
      </w:r>
      <w:r>
        <w:t xml:space="preserve"> </w:t>
      </w:r>
      <w:r>
        <w:t xml:space="preserve">-</w:t>
      </w:r>
      <w:r>
        <w:t xml:space="preserve"> </w:t>
      </w:r>
      <w:r>
        <w:rPr>
          <w:bCs/>
          <w:b/>
        </w:rPr>
        <w:t xml:space="preserve">Ressources :</w:t>
      </w:r>
      <w:r>
        <w:t xml:space="preserve"> </w:t>
      </w:r>
      <w:r>
        <w:t xml:space="preserve">L’entraînement et l’exécution de ces modèles peuvent être coûteux en termes de matériel.</w:t>
      </w:r>
      <w:r>
        <w:t xml:space="preserve"> </w:t>
      </w:r>
      <w:r>
        <w:t xml:space="preserve">-</w:t>
      </w:r>
      <w:r>
        <w:t xml:space="preserve"> </w:t>
      </w:r>
      <w:r>
        <w:rPr>
          <w:bCs/>
          <w:b/>
        </w:rPr>
        <w:t xml:space="preserve">Support :</w:t>
      </w:r>
      <w:r>
        <w:t xml:space="preserve"> </w:t>
      </w:r>
      <w:r>
        <w:t xml:space="preserve">Le support technique est souvent assuré par la communauté, ce qui peut être moins réactif que le support commercial.</w:t>
      </w:r>
    </w:p>
    <w:bookmarkEnd w:id="21"/>
    <w:bookmarkStart w:id="22" w:name="X0c3bacb637d793f2af0129dfdfcb2ed0531357d"/>
    <w:p>
      <w:pPr>
        <w:pStyle w:val="Heading3"/>
      </w:pPr>
      <w:r>
        <w:t xml:space="preserve">Cas d’utilisation adaptés au contexte togolais</w:t>
      </w:r>
    </w:p>
    <w:p>
      <w:pPr>
        <w:numPr>
          <w:ilvl w:val="0"/>
          <w:numId w:val="1001"/>
        </w:numPr>
        <w:pStyle w:val="Compact"/>
      </w:pPr>
      <w:r>
        <w:rPr>
          <w:bCs/>
          <w:b/>
        </w:rPr>
        <w:t xml:space="preserve">Traduction automatique :</w:t>
      </w:r>
      <w:r>
        <w:t xml:space="preserve"> </w:t>
      </w:r>
      <w:r>
        <w:t xml:space="preserve">Adapter les modèles pour les langues locales togolaises.</w:t>
      </w:r>
    </w:p>
    <w:p>
      <w:pPr>
        <w:numPr>
          <w:ilvl w:val="0"/>
          <w:numId w:val="1001"/>
        </w:numPr>
        <w:pStyle w:val="Compact"/>
      </w:pPr>
      <w:r>
        <w:rPr>
          <w:bCs/>
          <w:b/>
        </w:rPr>
        <w:t xml:space="preserve">Agriculture :</w:t>
      </w:r>
      <w:r>
        <w:t xml:space="preserve"> </w:t>
      </w:r>
      <w:r>
        <w:t xml:space="preserve">Fournir des conseils agricoles personnalisés aux agriculteurs.</w:t>
      </w:r>
    </w:p>
    <w:p>
      <w:pPr>
        <w:numPr>
          <w:ilvl w:val="0"/>
          <w:numId w:val="1001"/>
        </w:numPr>
        <w:pStyle w:val="Compact"/>
      </w:pPr>
      <w:r>
        <w:rPr>
          <w:bCs/>
          <w:b/>
        </w:rPr>
        <w:t xml:space="preserve">Éducation :</w:t>
      </w:r>
      <w:r>
        <w:t xml:space="preserve"> </w:t>
      </w:r>
      <w:r>
        <w:t xml:space="preserve">Créer des outils d’apprentissage interactifs pour les étudiants.</w:t>
      </w:r>
    </w:p>
    <w:bookmarkEnd w:id="22"/>
    <w:bookmarkStart w:id="23" w:name="démonstrations-pratiques"/>
    <w:p>
      <w:pPr>
        <w:pStyle w:val="Heading3"/>
      </w:pPr>
      <w:r>
        <w:t xml:space="preserve">Démonstrations pratiques</w:t>
      </w:r>
    </w:p>
    <w:p>
      <w:pPr>
        <w:pStyle w:val="FirstParagraph"/>
      </w:pPr>
      <w:r>
        <w:rPr>
          <w:iCs/>
          <w:i/>
        </w:rPr>
        <w:t xml:space="preserve">Exemple de code pour utiliser un modèle open source comme Mistral.</w:t>
      </w:r>
    </w:p>
    <w:bookmarkEnd w:id="23"/>
    <w:bookmarkEnd w:id="24"/>
    <w:bookmarkStart w:id="29" w:name="Xabdc18830280429ed9b4b3efd41139bdeefc3a5"/>
    <w:p>
      <w:pPr>
        <w:pStyle w:val="Heading2"/>
      </w:pPr>
      <w:r>
        <w:t xml:space="preserve">2.2 Modèles Commerciaux (ChatGPT, Claude, Gemini)</w:t>
      </w:r>
    </w:p>
    <w:bookmarkStart w:id="25" w:name="fonctionnalités-spécifiques"/>
    <w:p>
      <w:pPr>
        <w:pStyle w:val="Heading3"/>
      </w:pPr>
      <w:r>
        <w:t xml:space="preserve">Fonctionnalités spécifiques</w:t>
      </w:r>
    </w:p>
    <w:p>
      <w:pPr>
        <w:pStyle w:val="FirstParagraph"/>
      </w:pPr>
      <w:r>
        <w:t xml:space="preserve">Les modèles commerciaux sont développés et maintenus par des entreprises privées. Ils offrent souvent des fonctionnalités avancées et une plus grande facilité d’utilisation.</w:t>
      </w:r>
    </w:p>
    <w:p>
      <w:pPr>
        <w:numPr>
          <w:ilvl w:val="0"/>
          <w:numId w:val="1002"/>
        </w:numPr>
        <w:pStyle w:val="Compact"/>
      </w:pPr>
      <w:r>
        <w:rPr>
          <w:bCs/>
          <w:b/>
        </w:rPr>
        <w:t xml:space="preserve">ChatGPT (OpenAI) :</w:t>
      </w:r>
      <w:r>
        <w:t xml:space="preserve"> </w:t>
      </w:r>
      <w:r>
        <w:t xml:space="preserve">Connu pour sa capacité à générer du texte de haute qualité et à tenir des conversations fluides.</w:t>
      </w:r>
    </w:p>
    <w:p>
      <w:pPr>
        <w:numPr>
          <w:ilvl w:val="0"/>
          <w:numId w:val="1002"/>
        </w:numPr>
        <w:pStyle w:val="Compact"/>
      </w:pPr>
      <w:r>
        <w:rPr>
          <w:bCs/>
          <w:b/>
        </w:rPr>
        <w:t xml:space="preserve">Claude (Anthropic) :</w:t>
      </w:r>
      <w:r>
        <w:t xml:space="preserve"> </w:t>
      </w:r>
      <w:r>
        <w:t xml:space="preserve">Met l’accent sur la sécurité et l’éthique, avec des garde-fous pour éviter les réponses nuisibles.</w:t>
      </w:r>
    </w:p>
    <w:p>
      <w:pPr>
        <w:numPr>
          <w:ilvl w:val="0"/>
          <w:numId w:val="1002"/>
        </w:numPr>
        <w:pStyle w:val="Compact"/>
      </w:pPr>
      <w:r>
        <w:rPr>
          <w:bCs/>
          <w:b/>
        </w:rPr>
        <w:t xml:space="preserve">Gemini (Google) :</w:t>
      </w:r>
      <w:r>
        <w:t xml:space="preserve"> </w:t>
      </w:r>
      <w:r>
        <w:t xml:space="preserve">Un modèle multimodal capable de traiter du texte, des images, de l’audio et de la vidéo.</w:t>
      </w:r>
    </w:p>
    <w:bookmarkEnd w:id="25"/>
    <w:bookmarkStart w:id="26" w:name="comparaison-des-performances"/>
    <w:p>
      <w:pPr>
        <w:pStyle w:val="Heading3"/>
      </w:pPr>
      <w:r>
        <w:t xml:space="preserve">Comparaison des performances</w:t>
      </w:r>
    </w:p>
    <w:p>
      <w:pPr>
        <w:pStyle w:val="FirstParagraph"/>
      </w:pPr>
      <w:r>
        <w:rPr>
          <w:iCs/>
          <w:i/>
        </w:rPr>
        <w:t xml:space="preserve">Tableau comparatif des performances des différents modèles sur des tâches spécifiques.</w:t>
      </w:r>
    </w:p>
    <w:bookmarkEnd w:id="26"/>
    <w:bookmarkStart w:id="27" w:name="Xc53452ed9bc18d7bb9188cfc02df8525bf0e6fc"/>
    <w:p>
      <w:pPr>
        <w:pStyle w:val="Heading3"/>
      </w:pPr>
      <w:r>
        <w:t xml:space="preserve">Coûts et accessibilité en Afrique de l’Ouest</w:t>
      </w:r>
    </w:p>
    <w:p>
      <w:pPr>
        <w:pStyle w:val="FirstParagraph"/>
      </w:pPr>
      <w:r>
        <w:rPr>
          <w:iCs/>
          <w:i/>
        </w:rPr>
        <w:t xml:space="preserve">Analyse des coûts d’abonnement et des options d’accès pour les entreprises togolaises.</w:t>
      </w:r>
    </w:p>
    <w:bookmarkEnd w:id="27"/>
    <w:bookmarkStart w:id="28" w:name="stratégies-dutilisation-optimale"/>
    <w:p>
      <w:pPr>
        <w:pStyle w:val="Heading3"/>
      </w:pPr>
      <w:r>
        <w:t xml:space="preserve">Stratégies d’utilisation optimale</w:t>
      </w:r>
    </w:p>
    <w:p>
      <w:pPr>
        <w:pStyle w:val="FirstParagraph"/>
      </w:pPr>
      <w:r>
        <w:rPr>
          <w:iCs/>
          <w:i/>
        </w:rPr>
        <w:t xml:space="preserve">Conseils pour choisir le bon modèle en fonction des besoins et du budget.</w:t>
      </w:r>
    </w:p>
    <w:bookmarkEnd w:id="28"/>
    <w:bookmarkEnd w:id="29"/>
    <w:bookmarkStart w:id="33" w:name="X2333e2a11fed8985be24309c507f13e1415f04b"/>
    <w:p>
      <w:pPr>
        <w:pStyle w:val="Heading2"/>
      </w:pPr>
      <w:r>
        <w:t xml:space="preserve">2.3 Comparaison des performances et capacités</w:t>
      </w:r>
    </w:p>
    <w:bookmarkStart w:id="30" w:name="benchmarks-et-évaluations"/>
    <w:p>
      <w:pPr>
        <w:pStyle w:val="Heading3"/>
      </w:pPr>
      <w:r>
        <w:t xml:space="preserve">Benchmarks et évaluations</w:t>
      </w:r>
    </w:p>
    <w:p>
      <w:pPr>
        <w:pStyle w:val="FirstParagraph"/>
      </w:pPr>
      <w:r>
        <w:rPr>
          <w:iCs/>
          <w:i/>
        </w:rPr>
        <w:t xml:space="preserve">Présentation des principaux benchmarks utilisés pour évaluer les LLMs.</w:t>
      </w:r>
    </w:p>
    <w:bookmarkEnd w:id="30"/>
    <w:bookmarkStart w:id="31" w:name="forces-et-faiblesses-selon-les-tâches"/>
    <w:p>
      <w:pPr>
        <w:pStyle w:val="Heading3"/>
      </w:pPr>
      <w:r>
        <w:t xml:space="preserve">Forces et faiblesses selon les tâches</w:t>
      </w:r>
    </w:p>
    <w:p>
      <w:pPr>
        <w:pStyle w:val="FirstParagraph"/>
      </w:pPr>
      <w:r>
        <w:rPr>
          <w:iCs/>
          <w:i/>
        </w:rPr>
        <w:t xml:space="preserve">Analyse des forces et des faiblesses de chaque modèle pour différentes applications (rédaction, analyse, etc.).</w:t>
      </w:r>
    </w:p>
    <w:bookmarkEnd w:id="31"/>
    <w:bookmarkStart w:id="32" w:name="adaptation-aux-langues-africaines"/>
    <w:p>
      <w:pPr>
        <w:pStyle w:val="Heading3"/>
      </w:pPr>
      <w:r>
        <w:t xml:space="preserve">Adaptation aux langues africaines</w:t>
      </w:r>
    </w:p>
    <w:p>
      <w:pPr>
        <w:pStyle w:val="FirstParagraph"/>
      </w:pPr>
      <w:r>
        <w:rPr>
          <w:iCs/>
          <w:i/>
        </w:rPr>
        <w:t xml:space="preserve">Discussion sur les défis et les opportunités de l’adaptation des LLMs aux langues locales.</w:t>
      </w:r>
    </w:p>
    <w:bookmarkEnd w:id="32"/>
    <w:bookmarkEnd w:id="33"/>
    <w:bookmarkStart w:id="37" w:name="choix-du-modèle-adapté-selon-les-besoins"/>
    <w:p>
      <w:pPr>
        <w:pStyle w:val="Heading2"/>
      </w:pPr>
      <w:r>
        <w:t xml:space="preserve">2.4 Choix du modèle adapté selon les besoins</w:t>
      </w:r>
    </w:p>
    <w:bookmarkStart w:id="34" w:name="X54eb96e574c001cef4cc9895cf5bdb0355b27ee"/>
    <w:p>
      <w:pPr>
        <w:pStyle w:val="Heading3"/>
      </w:pPr>
      <w:r>
        <w:t xml:space="preserve">Critères de sélection pour les PME togolaises</w:t>
      </w:r>
    </w:p>
    <w:p>
      <w:pPr>
        <w:numPr>
          <w:ilvl w:val="0"/>
          <w:numId w:val="1003"/>
        </w:numPr>
        <w:pStyle w:val="Compact"/>
      </w:pPr>
      <w:r>
        <w:rPr>
          <w:bCs/>
          <w:b/>
        </w:rPr>
        <w:t xml:space="preserve">Coût :</w:t>
      </w:r>
      <w:r>
        <w:t xml:space="preserve"> </w:t>
      </w:r>
      <w:r>
        <w:t xml:space="preserve">Quel est le budget disponible ?</w:t>
      </w:r>
    </w:p>
    <w:p>
      <w:pPr>
        <w:numPr>
          <w:ilvl w:val="0"/>
          <w:numId w:val="1003"/>
        </w:numPr>
        <w:pStyle w:val="Compact"/>
      </w:pPr>
      <w:r>
        <w:rPr>
          <w:bCs/>
          <w:b/>
        </w:rPr>
        <w:t xml:space="preserve">Compétences techniques :</w:t>
      </w:r>
      <w:r>
        <w:t xml:space="preserve"> </w:t>
      </w:r>
      <w:r>
        <w:t xml:space="preserve">L’entreprise dispose-t-elle des compétences pour gérer un modèle open source ?</w:t>
      </w:r>
    </w:p>
    <w:p>
      <w:pPr>
        <w:numPr>
          <w:ilvl w:val="0"/>
          <w:numId w:val="1003"/>
        </w:numPr>
        <w:pStyle w:val="Compact"/>
      </w:pPr>
      <w:r>
        <w:rPr>
          <w:bCs/>
          <w:b/>
        </w:rPr>
        <w:t xml:space="preserve">Besoins spécifiques :</w:t>
      </w:r>
      <w:r>
        <w:t xml:space="preserve"> </w:t>
      </w:r>
      <w:r>
        <w:t xml:space="preserve">Quelles sont les tâches à automatiser ?</w:t>
      </w:r>
    </w:p>
    <w:bookmarkEnd w:id="34"/>
    <w:bookmarkStart w:id="35" w:name="analyse-coût-bénéfice"/>
    <w:p>
      <w:pPr>
        <w:pStyle w:val="Heading3"/>
      </w:pPr>
      <w:r>
        <w:t xml:space="preserve">Analyse coût-bénéfice</w:t>
      </w:r>
    </w:p>
    <w:p>
      <w:pPr>
        <w:pStyle w:val="FirstParagraph"/>
      </w:pPr>
      <w:r>
        <w:rPr>
          <w:iCs/>
          <w:i/>
        </w:rPr>
        <w:t xml:space="preserve">Exemple d’analyse coût-bénéfice pour une PME togolaise.</w:t>
      </w:r>
    </w:p>
    <w:bookmarkEnd w:id="35"/>
    <w:bookmarkStart w:id="36" w:name="études-de-cas-locales"/>
    <w:p>
      <w:pPr>
        <w:pStyle w:val="Heading3"/>
      </w:pPr>
      <w:r>
        <w:t xml:space="preserve">Études de cas locales</w:t>
      </w:r>
    </w:p>
    <w:p>
      <w:pPr>
        <w:pStyle w:val="FirstParagraph"/>
      </w:pPr>
      <w:r>
        <w:rPr>
          <w:iCs/>
          <w:i/>
        </w:rPr>
        <w:t xml:space="preserve">Présentation d’entreprises togolaises qui utilisent avec succès des LLMs.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2025-07-18T16:11:52Z</dcterms:created>
  <dcterms:modified xsi:type="dcterms:W3CDTF">2025-07-18T16:11:52Z</dcterms:modified>
</cp:coreProperties>
</file>

<file path=docProps/custom.xml><?xml version="1.0" encoding="utf-8"?>
<Properties xmlns="http://schemas.openxmlformats.org/officeDocument/2006/custom-properties" xmlns:vt="http://schemas.openxmlformats.org/officeDocument/2006/docPropsVTypes"/>
</file>