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X5d5375fdec776cace105cf5b985a44ff3691df8"/>
    <w:p>
      <w:pPr>
        <w:pStyle w:val="Heading1"/>
      </w:pPr>
      <w:r>
        <w:t xml:space="preserve">Structure Complète du Séminaire sur l’Intelligence Artificielle au Togo</w:t>
      </w:r>
    </w:p>
    <w:bookmarkStart w:id="20" w:name="vue-densemble"/>
    <w:p>
      <w:pPr>
        <w:pStyle w:val="Heading2"/>
      </w:pPr>
      <w:r>
        <w:t xml:space="preserve">Vue d’ensemble</w:t>
      </w:r>
    </w:p>
    <w:p>
      <w:pPr>
        <w:pStyle w:val="FirstParagraph"/>
      </w:pPr>
      <w:r>
        <w:t xml:space="preserve">Ce document présente la structure complète du séminaire d’une semaine sur l’intelligence artificielle, adapté au contexte togolais et destiné aux PME. Le séminaire est organisé en 10 chapitres principaux, répartis sur 5 jours de formation.</w:t>
      </w:r>
    </w:p>
    <w:bookmarkEnd w:id="20"/>
    <w:bookmarkStart w:id="26" w:name="organisation-temporelle"/>
    <w:p>
      <w:pPr>
        <w:pStyle w:val="Heading2"/>
      </w:pPr>
      <w:r>
        <w:t xml:space="preserve">Organisation temporelle</w:t>
      </w:r>
    </w:p>
    <w:bookmarkStart w:id="21" w:name="Xab6008f3b3d686d45d94b13e5aa0ff6c9d64e63"/>
    <w:p>
      <w:pPr>
        <w:pStyle w:val="Heading3"/>
      </w:pPr>
      <w:r>
        <w:t xml:space="preserve">Jour 1: Fondamentaux de l’IA et contexte africain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Matin</w:t>
      </w:r>
      <w:r>
        <w:t xml:space="preserve">: Chapitres 1 et 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Après-midi</w:t>
      </w:r>
      <w:r>
        <w:t xml:space="preserve">: Ateliers pratiques et études de cas</w:t>
      </w:r>
    </w:p>
    <w:bookmarkEnd w:id="21"/>
    <w:bookmarkStart w:id="22" w:name="jour-2-modèles-dia-et-modalités"/>
    <w:p>
      <w:pPr>
        <w:pStyle w:val="Heading3"/>
      </w:pPr>
      <w:r>
        <w:t xml:space="preserve">Jour 2: Modèles d’IA et modalités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Matin</w:t>
      </w:r>
      <w:r>
        <w:t xml:space="preserve">: Chapitres 3 et 4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Après-midi</w:t>
      </w:r>
      <w:r>
        <w:t xml:space="preserve">: Démonstrations et exercices pratiques</w:t>
      </w:r>
    </w:p>
    <w:bookmarkEnd w:id="22"/>
    <w:bookmarkStart w:id="23" w:name="jour-3-techniques-avancées-et-prompting"/>
    <w:p>
      <w:pPr>
        <w:pStyle w:val="Heading3"/>
      </w:pPr>
      <w:r>
        <w:t xml:space="preserve">Jour 3: Techniques avancées et prompting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Matin</w:t>
      </w:r>
      <w:r>
        <w:t xml:space="preserve">: Chapitres 5 et 6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Après-midi</w:t>
      </w:r>
      <w:r>
        <w:t xml:space="preserve">: Ateliers de création et optimisation de prompts</w:t>
      </w:r>
    </w:p>
    <w:bookmarkEnd w:id="23"/>
    <w:bookmarkStart w:id="24" w:name="X968ef92f2601ee6dd3577e81de5011de218b9c4"/>
    <w:p>
      <w:pPr>
        <w:pStyle w:val="Heading3"/>
      </w:pPr>
      <w:r>
        <w:t xml:space="preserve">Jour 4: Applications pratiques pour les organisations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Matin</w:t>
      </w:r>
      <w:r>
        <w:t xml:space="preserve">: Chapitres 7 et 8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Après-midi</w:t>
      </w:r>
      <w:r>
        <w:t xml:space="preserve">: Études de cas et exercices de mise en situation</w:t>
      </w:r>
    </w:p>
    <w:bookmarkEnd w:id="24"/>
    <w:bookmarkStart w:id="25" w:name="X6891542e5c3191e077de09cfa18c5f4e9629149"/>
    <w:p>
      <w:pPr>
        <w:pStyle w:val="Heading3"/>
      </w:pPr>
      <w:r>
        <w:t xml:space="preserve">Jour 5: Perspectives d’avenir et mise en œuvre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Matin</w:t>
      </w:r>
      <w:r>
        <w:t xml:space="preserve">: Chapitres 9 et 10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Après-midi</w:t>
      </w:r>
      <w:r>
        <w:t xml:space="preserve">: Élaboration de plans d’action personnalisés et conclusion</w:t>
      </w:r>
    </w:p>
    <w:bookmarkEnd w:id="25"/>
    <w:bookmarkEnd w:id="26"/>
    <w:bookmarkStart w:id="37" w:name="contenu-détaillé-des-chapitres"/>
    <w:p>
      <w:pPr>
        <w:pStyle w:val="Heading2"/>
      </w:pPr>
      <w:r>
        <w:t xml:space="preserve">Contenu détaillé des chapitres</w:t>
      </w:r>
    </w:p>
    <w:bookmarkStart w:id="27" w:name="X7e5c3301b2d88bd982422ead8a46f0df890ac65"/>
    <w:p>
      <w:pPr>
        <w:pStyle w:val="Heading3"/>
      </w:pPr>
      <w:r>
        <w:t xml:space="preserve">Chapitre 1: Introduction à l’Intelligence Artificielle et aux LLMs</w:t>
      </w:r>
    </w:p>
    <w:p>
      <w:pPr>
        <w:numPr>
          <w:ilvl w:val="0"/>
          <w:numId w:val="1006"/>
        </w:numPr>
        <w:pStyle w:val="Compact"/>
      </w:pPr>
      <w:r>
        <w:t xml:space="preserve">Qu’est-ce que l’intelligence artificielle ?</w:t>
      </w:r>
    </w:p>
    <w:p>
      <w:pPr>
        <w:numPr>
          <w:ilvl w:val="0"/>
          <w:numId w:val="1006"/>
        </w:numPr>
        <w:pStyle w:val="Compact"/>
      </w:pPr>
      <w:r>
        <w:t xml:space="preserve">Évolution historique de l’IA</w:t>
      </w:r>
    </w:p>
    <w:p>
      <w:pPr>
        <w:numPr>
          <w:ilvl w:val="0"/>
          <w:numId w:val="1006"/>
        </w:numPr>
        <w:pStyle w:val="Compact"/>
      </w:pPr>
      <w:r>
        <w:t xml:space="preserve">Les différents types d’IA</w:t>
      </w:r>
    </w:p>
    <w:p>
      <w:pPr>
        <w:numPr>
          <w:ilvl w:val="0"/>
          <w:numId w:val="1006"/>
        </w:numPr>
        <w:pStyle w:val="Compact"/>
      </w:pPr>
      <w:r>
        <w:t xml:space="preserve">Introduction aux Large Language Models (LLMs)</w:t>
      </w:r>
    </w:p>
    <w:p>
      <w:pPr>
        <w:numPr>
          <w:ilvl w:val="0"/>
          <w:numId w:val="1006"/>
        </w:numPr>
        <w:pStyle w:val="Compact"/>
      </w:pPr>
      <w:r>
        <w:t xml:space="preserve">Impact de l’IA dans le contexte africain et togolais</w:t>
      </w:r>
    </w:p>
    <w:p>
      <w:pPr>
        <w:numPr>
          <w:ilvl w:val="0"/>
          <w:numId w:val="1006"/>
        </w:numPr>
        <w:pStyle w:val="Compact"/>
      </w:pPr>
      <w:r>
        <w:t xml:space="preserve">Applications pratiques pour les PME togolaises</w:t>
      </w:r>
    </w:p>
    <w:bookmarkEnd w:id="27"/>
    <w:bookmarkStart w:id="28" w:name="X570f43fa59d2d0a0cbb7057137973098e605873"/>
    <w:p>
      <w:pPr>
        <w:pStyle w:val="Heading3"/>
      </w:pPr>
      <w:r>
        <w:t xml:space="preserve">Chapitre 2: Les Différents LLMs et leurs Caractéristiques</w:t>
      </w:r>
    </w:p>
    <w:p>
      <w:pPr>
        <w:numPr>
          <w:ilvl w:val="0"/>
          <w:numId w:val="1007"/>
        </w:numPr>
        <w:pStyle w:val="Compact"/>
      </w:pPr>
      <w:r>
        <w:t xml:space="preserve">Modèles Open Source (Mistral, LLaMA, etc.)</w:t>
      </w:r>
    </w:p>
    <w:p>
      <w:pPr>
        <w:numPr>
          <w:ilvl w:val="1"/>
          <w:numId w:val="1008"/>
        </w:numPr>
        <w:pStyle w:val="Compact"/>
      </w:pPr>
      <w:r>
        <w:t xml:space="preserve">Principes de fonctionnement</w:t>
      </w:r>
    </w:p>
    <w:p>
      <w:pPr>
        <w:numPr>
          <w:ilvl w:val="1"/>
          <w:numId w:val="1008"/>
        </w:numPr>
        <w:pStyle w:val="Compact"/>
      </w:pPr>
      <w:r>
        <w:t xml:space="preserve">Avantages et limitations</w:t>
      </w:r>
    </w:p>
    <w:p>
      <w:pPr>
        <w:numPr>
          <w:ilvl w:val="1"/>
          <w:numId w:val="1008"/>
        </w:numPr>
        <w:pStyle w:val="Compact"/>
      </w:pPr>
      <w:r>
        <w:t xml:space="preserve">Cas d’utilisation adaptés au contexte togolais</w:t>
      </w:r>
    </w:p>
    <w:p>
      <w:pPr>
        <w:numPr>
          <w:ilvl w:val="1"/>
          <w:numId w:val="1008"/>
        </w:numPr>
        <w:pStyle w:val="Compact"/>
      </w:pPr>
      <w:r>
        <w:t xml:space="preserve">Démonstrations pratiques</w:t>
      </w:r>
    </w:p>
    <w:p>
      <w:pPr>
        <w:numPr>
          <w:ilvl w:val="0"/>
          <w:numId w:val="1007"/>
        </w:numPr>
        <w:pStyle w:val="Compact"/>
      </w:pPr>
      <w:r>
        <w:t xml:space="preserve">Modèles Commerciaux (ChatGPT, Claude, Gemini)</w:t>
      </w:r>
    </w:p>
    <w:p>
      <w:pPr>
        <w:numPr>
          <w:ilvl w:val="1"/>
          <w:numId w:val="1009"/>
        </w:numPr>
        <w:pStyle w:val="Compact"/>
      </w:pPr>
      <w:r>
        <w:t xml:space="preserve">Fonctionnalités spécifiques</w:t>
      </w:r>
    </w:p>
    <w:p>
      <w:pPr>
        <w:numPr>
          <w:ilvl w:val="1"/>
          <w:numId w:val="1009"/>
        </w:numPr>
        <w:pStyle w:val="Compact"/>
      </w:pPr>
      <w:r>
        <w:t xml:space="preserve">Comparaison des performances</w:t>
      </w:r>
    </w:p>
    <w:p>
      <w:pPr>
        <w:numPr>
          <w:ilvl w:val="1"/>
          <w:numId w:val="1009"/>
        </w:numPr>
        <w:pStyle w:val="Compact"/>
      </w:pPr>
      <w:r>
        <w:t xml:space="preserve">Coûts et accessibilité en Afrique de l’Ouest</w:t>
      </w:r>
    </w:p>
    <w:p>
      <w:pPr>
        <w:numPr>
          <w:ilvl w:val="1"/>
          <w:numId w:val="1009"/>
        </w:numPr>
        <w:pStyle w:val="Compact"/>
      </w:pPr>
      <w:r>
        <w:t xml:space="preserve">Stratégies d’utilisation optimale</w:t>
      </w:r>
    </w:p>
    <w:p>
      <w:pPr>
        <w:numPr>
          <w:ilvl w:val="0"/>
          <w:numId w:val="1007"/>
        </w:numPr>
        <w:pStyle w:val="Compact"/>
      </w:pPr>
      <w:r>
        <w:t xml:space="preserve">Comparaison des performances et capacités</w:t>
      </w:r>
    </w:p>
    <w:p>
      <w:pPr>
        <w:numPr>
          <w:ilvl w:val="1"/>
          <w:numId w:val="1010"/>
        </w:numPr>
        <w:pStyle w:val="Compact"/>
      </w:pPr>
      <w:r>
        <w:t xml:space="preserve">Benchmarks et évaluations</w:t>
      </w:r>
    </w:p>
    <w:p>
      <w:pPr>
        <w:numPr>
          <w:ilvl w:val="1"/>
          <w:numId w:val="1010"/>
        </w:numPr>
        <w:pStyle w:val="Compact"/>
      </w:pPr>
      <w:r>
        <w:t xml:space="preserve">Forces et faiblesses selon les tâches</w:t>
      </w:r>
    </w:p>
    <w:p>
      <w:pPr>
        <w:numPr>
          <w:ilvl w:val="1"/>
          <w:numId w:val="1010"/>
        </w:numPr>
        <w:pStyle w:val="Compact"/>
      </w:pPr>
      <w:r>
        <w:t xml:space="preserve">Adaptation aux langues africaines</w:t>
      </w:r>
    </w:p>
    <w:p>
      <w:pPr>
        <w:numPr>
          <w:ilvl w:val="0"/>
          <w:numId w:val="1007"/>
        </w:numPr>
        <w:pStyle w:val="Compact"/>
      </w:pPr>
      <w:r>
        <w:t xml:space="preserve">Choix du modèle adapté selon les besoins</w:t>
      </w:r>
    </w:p>
    <w:p>
      <w:pPr>
        <w:numPr>
          <w:ilvl w:val="1"/>
          <w:numId w:val="1011"/>
        </w:numPr>
        <w:pStyle w:val="Compact"/>
      </w:pPr>
      <w:r>
        <w:t xml:space="preserve">Critères de sélection pour les PME togolaises</w:t>
      </w:r>
    </w:p>
    <w:p>
      <w:pPr>
        <w:numPr>
          <w:ilvl w:val="1"/>
          <w:numId w:val="1011"/>
        </w:numPr>
        <w:pStyle w:val="Compact"/>
      </w:pPr>
      <w:r>
        <w:t xml:space="preserve">Analyse coût-bénéfice</w:t>
      </w:r>
    </w:p>
    <w:p>
      <w:pPr>
        <w:numPr>
          <w:ilvl w:val="1"/>
          <w:numId w:val="1011"/>
        </w:numPr>
        <w:pStyle w:val="Compact"/>
      </w:pPr>
      <w:r>
        <w:t xml:space="preserve">Études de cas locales</w:t>
      </w:r>
    </w:p>
    <w:bookmarkEnd w:id="28"/>
    <w:bookmarkStart w:id="29" w:name="X360c7fdb5123acf7a22cc778634d4bc428bbeb8"/>
    <w:p>
      <w:pPr>
        <w:pStyle w:val="Heading3"/>
      </w:pPr>
      <w:r>
        <w:t xml:space="preserve">Chapitre 3: Catégories de Modèles selon la Modalité</w:t>
      </w:r>
    </w:p>
    <w:p>
      <w:pPr>
        <w:numPr>
          <w:ilvl w:val="0"/>
          <w:numId w:val="1012"/>
        </w:numPr>
        <w:pStyle w:val="Compact"/>
      </w:pPr>
      <w:r>
        <w:t xml:space="preserve">LLMs textuels</w:t>
      </w:r>
    </w:p>
    <w:p>
      <w:pPr>
        <w:numPr>
          <w:ilvl w:val="1"/>
          <w:numId w:val="1013"/>
        </w:numPr>
        <w:pStyle w:val="Compact"/>
      </w:pPr>
      <w:r>
        <w:t xml:space="preserve">Principes de fonctionnement</w:t>
      </w:r>
    </w:p>
    <w:p>
      <w:pPr>
        <w:numPr>
          <w:ilvl w:val="1"/>
          <w:numId w:val="1013"/>
        </w:numPr>
        <w:pStyle w:val="Compact"/>
      </w:pPr>
      <w:r>
        <w:t xml:space="preserve">Applications pratiques au Togo</w:t>
      </w:r>
    </w:p>
    <w:p>
      <w:pPr>
        <w:numPr>
          <w:ilvl w:val="1"/>
          <w:numId w:val="1013"/>
        </w:numPr>
        <w:pStyle w:val="Compact"/>
      </w:pPr>
      <w:r>
        <w:t xml:space="preserve">Démonstrations et exemples</w:t>
      </w:r>
    </w:p>
    <w:p>
      <w:pPr>
        <w:numPr>
          <w:ilvl w:val="0"/>
          <w:numId w:val="1012"/>
        </w:numPr>
        <w:pStyle w:val="Compact"/>
      </w:pPr>
      <w:r>
        <w:t xml:space="preserve">Vision-LLMs</w:t>
      </w:r>
    </w:p>
    <w:p>
      <w:pPr>
        <w:numPr>
          <w:ilvl w:val="1"/>
          <w:numId w:val="1014"/>
        </w:numPr>
        <w:pStyle w:val="Compact"/>
      </w:pPr>
      <w:r>
        <w:t xml:space="preserve">Reconnaissance d’images et analyse visuelle</w:t>
      </w:r>
    </w:p>
    <w:p>
      <w:pPr>
        <w:numPr>
          <w:ilvl w:val="1"/>
          <w:numId w:val="1014"/>
        </w:numPr>
        <w:pStyle w:val="Compact"/>
      </w:pPr>
      <w:r>
        <w:t xml:space="preserve">Applications dans l’agriculture et la santé</w:t>
      </w:r>
    </w:p>
    <w:p>
      <w:pPr>
        <w:numPr>
          <w:ilvl w:val="1"/>
          <w:numId w:val="1014"/>
        </w:numPr>
        <w:pStyle w:val="Compact"/>
      </w:pPr>
      <w:r>
        <w:t xml:space="preserve">Cas d’utilisation pour les PME togolaises</w:t>
      </w:r>
    </w:p>
    <w:p>
      <w:pPr>
        <w:numPr>
          <w:ilvl w:val="0"/>
          <w:numId w:val="1012"/>
        </w:numPr>
        <w:pStyle w:val="Compact"/>
      </w:pPr>
      <w:r>
        <w:t xml:space="preserve">Audio-LLMs</w:t>
      </w:r>
    </w:p>
    <w:p>
      <w:pPr>
        <w:numPr>
          <w:ilvl w:val="1"/>
          <w:numId w:val="1015"/>
        </w:numPr>
        <w:pStyle w:val="Compact"/>
      </w:pPr>
      <w:r>
        <w:t xml:space="preserve">Traitement de la parole et synthèse vocale</w:t>
      </w:r>
    </w:p>
    <w:p>
      <w:pPr>
        <w:numPr>
          <w:ilvl w:val="1"/>
          <w:numId w:val="1015"/>
        </w:numPr>
        <w:pStyle w:val="Compact"/>
      </w:pPr>
      <w:r>
        <w:t xml:space="preserve">Applications multilingues incluant les langues locales</w:t>
      </w:r>
    </w:p>
    <w:p>
      <w:pPr>
        <w:numPr>
          <w:ilvl w:val="1"/>
          <w:numId w:val="1015"/>
        </w:numPr>
        <w:pStyle w:val="Compact"/>
      </w:pPr>
      <w:r>
        <w:t xml:space="preserve">Démonstrations pratiques</w:t>
      </w:r>
    </w:p>
    <w:p>
      <w:pPr>
        <w:numPr>
          <w:ilvl w:val="0"/>
          <w:numId w:val="1012"/>
        </w:numPr>
        <w:pStyle w:val="Compact"/>
      </w:pPr>
      <w:r>
        <w:t xml:space="preserve">Modèles multimodaux</w:t>
      </w:r>
    </w:p>
    <w:p>
      <w:pPr>
        <w:numPr>
          <w:ilvl w:val="1"/>
          <w:numId w:val="1016"/>
        </w:numPr>
        <w:pStyle w:val="Compact"/>
      </w:pPr>
      <w:r>
        <w:t xml:space="preserve">Intégration de texte, image et audio</w:t>
      </w:r>
    </w:p>
    <w:p>
      <w:pPr>
        <w:numPr>
          <w:ilvl w:val="1"/>
          <w:numId w:val="1016"/>
        </w:numPr>
        <w:pStyle w:val="Compact"/>
      </w:pPr>
      <w:r>
        <w:t xml:space="preserve">Applications avancées</w:t>
      </w:r>
    </w:p>
    <w:p>
      <w:pPr>
        <w:numPr>
          <w:ilvl w:val="1"/>
          <w:numId w:val="1016"/>
        </w:numPr>
        <w:pStyle w:val="Compact"/>
      </w:pPr>
      <w:r>
        <w:t xml:space="preserve">Perspectives pour le marché togolais</w:t>
      </w:r>
    </w:p>
    <w:bookmarkEnd w:id="29"/>
    <w:bookmarkStart w:id="30" w:name="chapitre-4-avatars-voix-et-ia-générative"/>
    <w:p>
      <w:pPr>
        <w:pStyle w:val="Heading3"/>
      </w:pPr>
      <w:r>
        <w:t xml:space="preserve">Chapitre 4: Avatars, Voix et IA Générative</w:t>
      </w:r>
    </w:p>
    <w:p>
      <w:pPr>
        <w:numPr>
          <w:ilvl w:val="0"/>
          <w:numId w:val="1017"/>
        </w:numPr>
        <w:pStyle w:val="Compact"/>
      </w:pPr>
      <w:r>
        <w:t xml:space="preserve">Technologies d’avatars virtuels</w:t>
      </w:r>
    </w:p>
    <w:p>
      <w:pPr>
        <w:numPr>
          <w:ilvl w:val="1"/>
          <w:numId w:val="1018"/>
        </w:numPr>
        <w:pStyle w:val="Compact"/>
      </w:pPr>
      <w:r>
        <w:t xml:space="preserve">Présentation des plateformes (Heygen, Synthesia)</w:t>
      </w:r>
    </w:p>
    <w:p>
      <w:pPr>
        <w:numPr>
          <w:ilvl w:val="1"/>
          <w:numId w:val="1018"/>
        </w:numPr>
        <w:pStyle w:val="Compact"/>
      </w:pPr>
      <w:r>
        <w:t xml:space="preserve">Processus de création</w:t>
      </w:r>
    </w:p>
    <w:p>
      <w:pPr>
        <w:numPr>
          <w:ilvl w:val="1"/>
          <w:numId w:val="1018"/>
        </w:numPr>
        <w:pStyle w:val="Compact"/>
      </w:pPr>
      <w:r>
        <w:t xml:space="preserve">Applications pour le marketing et la formation</w:t>
      </w:r>
    </w:p>
    <w:p>
      <w:pPr>
        <w:numPr>
          <w:ilvl w:val="0"/>
          <w:numId w:val="1017"/>
        </w:numPr>
        <w:pStyle w:val="Compact"/>
      </w:pPr>
      <w:r>
        <w:t xml:space="preserve">Synthèse vocale avancée</w:t>
      </w:r>
    </w:p>
    <w:p>
      <w:pPr>
        <w:numPr>
          <w:ilvl w:val="1"/>
          <w:numId w:val="1019"/>
        </w:numPr>
        <w:pStyle w:val="Compact"/>
      </w:pPr>
      <w:r>
        <w:t xml:space="preserve">Technologies disponibles (Elevenlabs, etc.)</w:t>
      </w:r>
    </w:p>
    <w:p>
      <w:pPr>
        <w:numPr>
          <w:ilvl w:val="1"/>
          <w:numId w:val="1019"/>
        </w:numPr>
        <w:pStyle w:val="Compact"/>
      </w:pPr>
      <w:r>
        <w:t xml:space="preserve">Adaptation aux langues africaines</w:t>
      </w:r>
    </w:p>
    <w:p>
      <w:pPr>
        <w:numPr>
          <w:ilvl w:val="1"/>
          <w:numId w:val="1019"/>
        </w:numPr>
        <w:pStyle w:val="Compact"/>
      </w:pPr>
      <w:r>
        <w:t xml:space="preserve">Cas d’utilisation pour les entreprises togolaises</w:t>
      </w:r>
    </w:p>
    <w:p>
      <w:pPr>
        <w:numPr>
          <w:ilvl w:val="0"/>
          <w:numId w:val="1017"/>
        </w:numPr>
        <w:pStyle w:val="Compact"/>
      </w:pPr>
      <w:r>
        <w:t xml:space="preserve">Applications de l’IA générative</w:t>
      </w:r>
    </w:p>
    <w:p>
      <w:pPr>
        <w:numPr>
          <w:ilvl w:val="1"/>
          <w:numId w:val="1020"/>
        </w:numPr>
        <w:pStyle w:val="Compact"/>
      </w:pPr>
      <w:r>
        <w:t xml:space="preserve">Création de contenu textuel</w:t>
      </w:r>
    </w:p>
    <w:p>
      <w:pPr>
        <w:numPr>
          <w:ilvl w:val="1"/>
          <w:numId w:val="1020"/>
        </w:numPr>
        <w:pStyle w:val="Compact"/>
      </w:pPr>
      <w:r>
        <w:t xml:space="preserve">Génération d’images et de designs</w:t>
      </w:r>
    </w:p>
    <w:p>
      <w:pPr>
        <w:numPr>
          <w:ilvl w:val="1"/>
          <w:numId w:val="1020"/>
        </w:numPr>
        <w:pStyle w:val="Compact"/>
      </w:pPr>
      <w:r>
        <w:t xml:space="preserve">Production de vidéos et animations</w:t>
      </w:r>
    </w:p>
    <w:p>
      <w:pPr>
        <w:numPr>
          <w:ilvl w:val="1"/>
          <w:numId w:val="1020"/>
        </w:numPr>
        <w:pStyle w:val="Compact"/>
      </w:pPr>
      <w:r>
        <w:t xml:space="preserve">Adaptation au contexte culturel togolais</w:t>
      </w:r>
    </w:p>
    <w:p>
      <w:pPr>
        <w:numPr>
          <w:ilvl w:val="0"/>
          <w:numId w:val="1017"/>
        </w:numPr>
        <w:pStyle w:val="Compact"/>
      </w:pPr>
      <w:r>
        <w:t xml:space="preserve">Considérations éthiques et culturelles</w:t>
      </w:r>
    </w:p>
    <w:p>
      <w:pPr>
        <w:numPr>
          <w:ilvl w:val="1"/>
          <w:numId w:val="1021"/>
        </w:numPr>
        <w:pStyle w:val="Compact"/>
      </w:pPr>
      <w:r>
        <w:t xml:space="preserve">Représentation et diversité</w:t>
      </w:r>
    </w:p>
    <w:p>
      <w:pPr>
        <w:numPr>
          <w:ilvl w:val="1"/>
          <w:numId w:val="1021"/>
        </w:numPr>
        <w:pStyle w:val="Compact"/>
      </w:pPr>
      <w:r>
        <w:t xml:space="preserve">Protection de l’identité culturelle</w:t>
      </w:r>
    </w:p>
    <w:p>
      <w:pPr>
        <w:numPr>
          <w:ilvl w:val="1"/>
          <w:numId w:val="1021"/>
        </w:numPr>
        <w:pStyle w:val="Compact"/>
      </w:pPr>
      <w:r>
        <w:t xml:space="preserve">Cadres réglementaires en Afrique</w:t>
      </w:r>
    </w:p>
    <w:bookmarkEnd w:id="30"/>
    <w:bookmarkStart w:id="31" w:name="chapitre-5-lart-du-prompting-efficace"/>
    <w:p>
      <w:pPr>
        <w:pStyle w:val="Heading3"/>
      </w:pPr>
      <w:r>
        <w:t xml:space="preserve">Chapitre 5: L’Art du Prompting Efficace</w:t>
      </w:r>
    </w:p>
    <w:p>
      <w:pPr>
        <w:numPr>
          <w:ilvl w:val="0"/>
          <w:numId w:val="1022"/>
        </w:numPr>
        <w:pStyle w:val="Compact"/>
      </w:pPr>
      <w:r>
        <w:t xml:space="preserve">Principes fondamentaux du prompting</w:t>
      </w:r>
    </w:p>
    <w:p>
      <w:pPr>
        <w:numPr>
          <w:ilvl w:val="1"/>
          <w:numId w:val="1023"/>
        </w:numPr>
        <w:pStyle w:val="Compact"/>
      </w:pPr>
      <w:r>
        <w:t xml:space="preserve">Structure d’un prompt efficace</w:t>
      </w:r>
    </w:p>
    <w:p>
      <w:pPr>
        <w:numPr>
          <w:ilvl w:val="1"/>
          <w:numId w:val="1023"/>
        </w:numPr>
        <w:pStyle w:val="Compact"/>
      </w:pPr>
      <w:r>
        <w:t xml:space="preserve">Techniques de clarification</w:t>
      </w:r>
    </w:p>
    <w:p>
      <w:pPr>
        <w:numPr>
          <w:ilvl w:val="1"/>
          <w:numId w:val="1023"/>
        </w:numPr>
        <w:pStyle w:val="Compact"/>
      </w:pPr>
      <w:r>
        <w:t xml:space="preserve">Importance du contexte</w:t>
      </w:r>
    </w:p>
    <w:p>
      <w:pPr>
        <w:numPr>
          <w:ilvl w:val="0"/>
          <w:numId w:val="1022"/>
        </w:numPr>
        <w:pStyle w:val="Compact"/>
      </w:pPr>
      <w:r>
        <w:t xml:space="preserve">Techniques avancées de prompting</w:t>
      </w:r>
    </w:p>
    <w:p>
      <w:pPr>
        <w:numPr>
          <w:ilvl w:val="1"/>
          <w:numId w:val="1024"/>
        </w:numPr>
        <w:pStyle w:val="Compact"/>
      </w:pPr>
      <w:r>
        <w:t xml:space="preserve">Chain-of-thought (chaîne de pensée)</w:t>
      </w:r>
    </w:p>
    <w:p>
      <w:pPr>
        <w:numPr>
          <w:ilvl w:val="1"/>
          <w:numId w:val="1024"/>
        </w:numPr>
        <w:pStyle w:val="Compact"/>
      </w:pPr>
      <w:r>
        <w:t xml:space="preserve">Few-shot learning (apprentissage à partir de quelques exemples)</w:t>
      </w:r>
    </w:p>
    <w:p>
      <w:pPr>
        <w:numPr>
          <w:ilvl w:val="1"/>
          <w:numId w:val="1024"/>
        </w:numPr>
        <w:pStyle w:val="Compact"/>
      </w:pPr>
      <w:r>
        <w:t xml:space="preserve">Prompting récursif</w:t>
      </w:r>
    </w:p>
    <w:p>
      <w:pPr>
        <w:numPr>
          <w:ilvl w:val="1"/>
          <w:numId w:val="1024"/>
        </w:numPr>
        <w:pStyle w:val="Compact"/>
      </w:pPr>
      <w:r>
        <w:t xml:space="preserve">Techniques d’optimisation</w:t>
      </w:r>
    </w:p>
    <w:p>
      <w:pPr>
        <w:numPr>
          <w:ilvl w:val="0"/>
          <w:numId w:val="1022"/>
        </w:numPr>
        <w:pStyle w:val="Compact"/>
      </w:pPr>
      <w:r>
        <w:t xml:space="preserve">Optimisation des requêtes pour différents modèles</w:t>
      </w:r>
    </w:p>
    <w:p>
      <w:pPr>
        <w:numPr>
          <w:ilvl w:val="1"/>
          <w:numId w:val="1025"/>
        </w:numPr>
        <w:pStyle w:val="Compact"/>
      </w:pPr>
      <w:r>
        <w:t xml:space="preserve">Spécificités selon les modèles (GPT, Claude, Mistral, etc.)</w:t>
      </w:r>
    </w:p>
    <w:p>
      <w:pPr>
        <w:numPr>
          <w:ilvl w:val="1"/>
          <w:numId w:val="1025"/>
        </w:numPr>
        <w:pStyle w:val="Compact"/>
      </w:pPr>
      <w:r>
        <w:t xml:space="preserve">Adaptation aux contraintes techniques</w:t>
      </w:r>
    </w:p>
    <w:p>
      <w:pPr>
        <w:numPr>
          <w:ilvl w:val="1"/>
          <w:numId w:val="1025"/>
        </w:numPr>
        <w:pStyle w:val="Compact"/>
      </w:pPr>
      <w:r>
        <w:t xml:space="preserve">Stratégies pour maximiser les résultats</w:t>
      </w:r>
    </w:p>
    <w:p>
      <w:pPr>
        <w:numPr>
          <w:ilvl w:val="0"/>
          <w:numId w:val="1022"/>
        </w:numPr>
        <w:pStyle w:val="Compact"/>
      </w:pPr>
      <w:r>
        <w:t xml:space="preserve">Exemples pratiques adaptés au contexte togolais</w:t>
      </w:r>
    </w:p>
    <w:p>
      <w:pPr>
        <w:numPr>
          <w:ilvl w:val="1"/>
          <w:numId w:val="1026"/>
        </w:numPr>
        <w:pStyle w:val="Compact"/>
      </w:pPr>
      <w:r>
        <w:t xml:space="preserve">Prompts pour l’analyse de marché local</w:t>
      </w:r>
    </w:p>
    <w:p>
      <w:pPr>
        <w:numPr>
          <w:ilvl w:val="1"/>
          <w:numId w:val="1026"/>
        </w:numPr>
        <w:pStyle w:val="Compact"/>
      </w:pPr>
      <w:r>
        <w:t xml:space="preserve">Création de contenu adapté culturellement</w:t>
      </w:r>
    </w:p>
    <w:p>
      <w:pPr>
        <w:numPr>
          <w:ilvl w:val="1"/>
          <w:numId w:val="1026"/>
        </w:numPr>
        <w:pStyle w:val="Compact"/>
      </w:pPr>
      <w:r>
        <w:t xml:space="preserve">Résolution de problèmes spécifiques aux PME togolaises</w:t>
      </w:r>
    </w:p>
    <w:p>
      <w:pPr>
        <w:numPr>
          <w:ilvl w:val="0"/>
          <w:numId w:val="1022"/>
        </w:numPr>
        <w:pStyle w:val="Compact"/>
      </w:pPr>
      <w:r>
        <w:t xml:space="preserve">Ateliers de création de prompts efficaces</w:t>
      </w:r>
    </w:p>
    <w:p>
      <w:pPr>
        <w:numPr>
          <w:ilvl w:val="1"/>
          <w:numId w:val="1027"/>
        </w:numPr>
        <w:pStyle w:val="Compact"/>
      </w:pPr>
      <w:r>
        <w:t xml:space="preserve">Exercices guidés</w:t>
      </w:r>
    </w:p>
    <w:p>
      <w:pPr>
        <w:numPr>
          <w:ilvl w:val="1"/>
          <w:numId w:val="1027"/>
        </w:numPr>
        <w:pStyle w:val="Compact"/>
      </w:pPr>
      <w:r>
        <w:t xml:space="preserve">Évaluation et amélioration des prompts</w:t>
      </w:r>
    </w:p>
    <w:p>
      <w:pPr>
        <w:numPr>
          <w:ilvl w:val="1"/>
          <w:numId w:val="1027"/>
        </w:numPr>
        <w:pStyle w:val="Compact"/>
      </w:pPr>
      <w:r>
        <w:t xml:space="preserve">Bibliothèque de prompts réutilisables</w:t>
      </w:r>
    </w:p>
    <w:bookmarkEnd w:id="31"/>
    <w:bookmarkStart w:id="32" w:name="X965033df08120690ae983bf3d3b2e1165c3880e"/>
    <w:p>
      <w:pPr>
        <w:pStyle w:val="Heading3"/>
      </w:pPr>
      <w:r>
        <w:t xml:space="preserve">Chapitre 6: Bases de Données Vectorielles et RAG</w:t>
      </w:r>
    </w:p>
    <w:p>
      <w:pPr>
        <w:numPr>
          <w:ilvl w:val="0"/>
          <w:numId w:val="1028"/>
        </w:numPr>
        <w:pStyle w:val="Compact"/>
      </w:pPr>
      <w:r>
        <w:t xml:space="preserve">Comprendre les bases de données vectorielles</w:t>
      </w:r>
    </w:p>
    <w:p>
      <w:pPr>
        <w:numPr>
          <w:ilvl w:val="1"/>
          <w:numId w:val="1029"/>
        </w:numPr>
        <w:pStyle w:val="Compact"/>
      </w:pPr>
      <w:r>
        <w:t xml:space="preserve">Principes fondamentaux</w:t>
      </w:r>
    </w:p>
    <w:p>
      <w:pPr>
        <w:numPr>
          <w:ilvl w:val="1"/>
          <w:numId w:val="1029"/>
        </w:numPr>
        <w:pStyle w:val="Compact"/>
      </w:pPr>
      <w:r>
        <w:t xml:space="preserve">Différence avec les bases de données traditionnelles</w:t>
      </w:r>
    </w:p>
    <w:p>
      <w:pPr>
        <w:numPr>
          <w:ilvl w:val="1"/>
          <w:numId w:val="1029"/>
        </w:numPr>
        <w:pStyle w:val="Compact"/>
      </w:pPr>
      <w:r>
        <w:t xml:space="preserve">Représentation vectorielle des données</w:t>
      </w:r>
    </w:p>
    <w:p>
      <w:pPr>
        <w:numPr>
          <w:ilvl w:val="0"/>
          <w:numId w:val="1028"/>
        </w:numPr>
        <w:pStyle w:val="Compact"/>
      </w:pPr>
      <w:r>
        <w:t xml:space="preserve">Exemples pratiques de bases de données vectorielles</w:t>
      </w:r>
    </w:p>
    <w:p>
      <w:pPr>
        <w:numPr>
          <w:ilvl w:val="1"/>
          <w:numId w:val="1030"/>
        </w:numPr>
        <w:pStyle w:val="Compact"/>
      </w:pPr>
      <w:r>
        <w:t xml:space="preserve">Pinecone</w:t>
      </w:r>
    </w:p>
    <w:p>
      <w:pPr>
        <w:numPr>
          <w:ilvl w:val="1"/>
          <w:numId w:val="1030"/>
        </w:numPr>
        <w:pStyle w:val="Compact"/>
      </w:pPr>
      <w:r>
        <w:t xml:space="preserve">FAISS</w:t>
      </w:r>
    </w:p>
    <w:p>
      <w:pPr>
        <w:numPr>
          <w:ilvl w:val="1"/>
          <w:numId w:val="1030"/>
        </w:numPr>
        <w:pStyle w:val="Compact"/>
      </w:pPr>
      <w:r>
        <w:t xml:space="preserve">Weaviate</w:t>
      </w:r>
    </w:p>
    <w:p>
      <w:pPr>
        <w:numPr>
          <w:ilvl w:val="1"/>
          <w:numId w:val="1030"/>
        </w:numPr>
        <w:pStyle w:val="Compact"/>
      </w:pPr>
      <w:r>
        <w:t xml:space="preserve">ChromaDB</w:t>
      </w:r>
    </w:p>
    <w:p>
      <w:pPr>
        <w:numPr>
          <w:ilvl w:val="1"/>
          <w:numId w:val="1030"/>
        </w:numPr>
        <w:pStyle w:val="Compact"/>
      </w:pPr>
      <w:r>
        <w:t xml:space="preserve">Comparaison et critères de choix</w:t>
      </w:r>
    </w:p>
    <w:p>
      <w:pPr>
        <w:numPr>
          <w:ilvl w:val="0"/>
          <w:numId w:val="1028"/>
        </w:numPr>
        <w:pStyle w:val="Compact"/>
      </w:pPr>
      <w:r>
        <w:t xml:space="preserve">Retrieval-Augmented Generation (RAG)</w:t>
      </w:r>
    </w:p>
    <w:p>
      <w:pPr>
        <w:numPr>
          <w:ilvl w:val="1"/>
          <w:numId w:val="1031"/>
        </w:numPr>
        <w:pStyle w:val="Compact"/>
      </w:pPr>
      <w:r>
        <w:t xml:space="preserve">Principes de fonctionnement</w:t>
      </w:r>
    </w:p>
    <w:p>
      <w:pPr>
        <w:numPr>
          <w:ilvl w:val="1"/>
          <w:numId w:val="1031"/>
        </w:numPr>
        <w:pStyle w:val="Compact"/>
      </w:pPr>
      <w:r>
        <w:t xml:space="preserve">Architecture d’un système RAG</w:t>
      </w:r>
    </w:p>
    <w:p>
      <w:pPr>
        <w:numPr>
          <w:ilvl w:val="1"/>
          <w:numId w:val="1031"/>
        </w:numPr>
        <w:pStyle w:val="Compact"/>
      </w:pPr>
      <w:r>
        <w:t xml:space="preserve">Avantages par rapport aux LLMs standards</w:t>
      </w:r>
    </w:p>
    <w:p>
      <w:pPr>
        <w:numPr>
          <w:ilvl w:val="1"/>
          <w:numId w:val="1031"/>
        </w:numPr>
        <w:pStyle w:val="Compact"/>
      </w:pPr>
      <w:r>
        <w:t xml:space="preserve">Limitations et défis</w:t>
      </w:r>
    </w:p>
    <w:p>
      <w:pPr>
        <w:numPr>
          <w:ilvl w:val="0"/>
          <w:numId w:val="1028"/>
        </w:numPr>
        <w:pStyle w:val="Compact"/>
      </w:pPr>
      <w:r>
        <w:t xml:space="preserve">Implémentation de solutions RAG pour les PME</w:t>
      </w:r>
    </w:p>
    <w:p>
      <w:pPr>
        <w:numPr>
          <w:ilvl w:val="1"/>
          <w:numId w:val="1032"/>
        </w:numPr>
        <w:pStyle w:val="Compact"/>
      </w:pPr>
      <w:r>
        <w:t xml:space="preserve">Architecture simplifiée</w:t>
      </w:r>
    </w:p>
    <w:p>
      <w:pPr>
        <w:numPr>
          <w:ilvl w:val="1"/>
          <w:numId w:val="1032"/>
        </w:numPr>
        <w:pStyle w:val="Compact"/>
      </w:pPr>
      <w:r>
        <w:t xml:space="preserve">Ressources nécessaires</w:t>
      </w:r>
    </w:p>
    <w:p>
      <w:pPr>
        <w:numPr>
          <w:ilvl w:val="1"/>
          <w:numId w:val="1032"/>
        </w:numPr>
        <w:pStyle w:val="Compact"/>
      </w:pPr>
      <w:r>
        <w:t xml:space="preserve">Étapes d’implémentation</w:t>
      </w:r>
    </w:p>
    <w:p>
      <w:pPr>
        <w:numPr>
          <w:ilvl w:val="1"/>
          <w:numId w:val="1032"/>
        </w:numPr>
        <w:pStyle w:val="Compact"/>
      </w:pPr>
      <w:r>
        <w:t xml:space="preserve">Maintenance et mise à jour</w:t>
      </w:r>
    </w:p>
    <w:p>
      <w:pPr>
        <w:numPr>
          <w:ilvl w:val="0"/>
          <w:numId w:val="1028"/>
        </w:numPr>
        <w:pStyle w:val="Compact"/>
      </w:pPr>
      <w:r>
        <w:t xml:space="preserve">Applications pour la gestion des connaissances locales</w:t>
      </w:r>
    </w:p>
    <w:p>
      <w:pPr>
        <w:numPr>
          <w:ilvl w:val="1"/>
          <w:numId w:val="1033"/>
        </w:numPr>
        <w:pStyle w:val="Compact"/>
      </w:pPr>
      <w:r>
        <w:t xml:space="preserve">Préservation du savoir traditionnel</w:t>
      </w:r>
    </w:p>
    <w:p>
      <w:pPr>
        <w:numPr>
          <w:ilvl w:val="1"/>
          <w:numId w:val="1033"/>
        </w:numPr>
        <w:pStyle w:val="Compact"/>
      </w:pPr>
      <w:r>
        <w:t xml:space="preserve">Documentation des pratiques commerciales locales</w:t>
      </w:r>
    </w:p>
    <w:p>
      <w:pPr>
        <w:numPr>
          <w:ilvl w:val="1"/>
          <w:numId w:val="1033"/>
        </w:numPr>
        <w:pStyle w:val="Compact"/>
      </w:pPr>
      <w:r>
        <w:t xml:space="preserve">Création de bases de connaissances spécifiques au Togo</w:t>
      </w:r>
    </w:p>
    <w:bookmarkEnd w:id="32"/>
    <w:bookmarkStart w:id="33" w:name="Xf8679fd8b3caa5afd15b4234cb7508f8eb2e8c4"/>
    <w:p>
      <w:pPr>
        <w:pStyle w:val="Heading3"/>
      </w:pPr>
      <w:r>
        <w:t xml:space="preserve">Chapitre 7: Évaluation Critique des Résultats et Lutte contre la Désinformation</w:t>
      </w:r>
    </w:p>
    <w:p>
      <w:pPr>
        <w:numPr>
          <w:ilvl w:val="0"/>
          <w:numId w:val="1034"/>
        </w:numPr>
        <w:pStyle w:val="Compact"/>
      </w:pPr>
      <w:r>
        <w:t xml:space="preserve">Vérification des informations générées par l’IA</w:t>
      </w:r>
    </w:p>
    <w:p>
      <w:pPr>
        <w:numPr>
          <w:ilvl w:val="1"/>
          <w:numId w:val="1035"/>
        </w:numPr>
        <w:pStyle w:val="Compact"/>
      </w:pPr>
      <w:r>
        <w:t xml:space="preserve">Méthodes de validation</w:t>
      </w:r>
    </w:p>
    <w:p>
      <w:pPr>
        <w:numPr>
          <w:ilvl w:val="1"/>
          <w:numId w:val="1035"/>
        </w:numPr>
        <w:pStyle w:val="Compact"/>
      </w:pPr>
      <w:r>
        <w:t xml:space="preserve">Sources fiables en Afrique de l’Ouest</w:t>
      </w:r>
    </w:p>
    <w:p>
      <w:pPr>
        <w:numPr>
          <w:ilvl w:val="1"/>
          <w:numId w:val="1035"/>
        </w:numPr>
        <w:pStyle w:val="Compact"/>
      </w:pPr>
      <w:r>
        <w:t xml:space="preserve">Outils de fact-checking</w:t>
      </w:r>
    </w:p>
    <w:p>
      <w:pPr>
        <w:numPr>
          <w:ilvl w:val="0"/>
          <w:numId w:val="1034"/>
        </w:numPr>
        <w:pStyle w:val="Compact"/>
      </w:pPr>
      <w:r>
        <w:t xml:space="preserve">Biais et limitations des modèles d’IA</w:t>
      </w:r>
    </w:p>
    <w:p>
      <w:pPr>
        <w:numPr>
          <w:ilvl w:val="1"/>
          <w:numId w:val="1036"/>
        </w:numPr>
        <w:pStyle w:val="Compact"/>
      </w:pPr>
      <w:r>
        <w:t xml:space="preserve">Types de biais algorithmiques</w:t>
      </w:r>
    </w:p>
    <w:p>
      <w:pPr>
        <w:numPr>
          <w:ilvl w:val="1"/>
          <w:numId w:val="1036"/>
        </w:numPr>
        <w:pStyle w:val="Compact"/>
      </w:pPr>
      <w:r>
        <w:t xml:space="preserve">Impact sur les décisions</w:t>
      </w:r>
    </w:p>
    <w:p>
      <w:pPr>
        <w:numPr>
          <w:ilvl w:val="1"/>
          <w:numId w:val="1036"/>
        </w:numPr>
        <w:pStyle w:val="Compact"/>
      </w:pPr>
      <w:r>
        <w:t xml:space="preserve">Stratégies d’atténuation</w:t>
      </w:r>
    </w:p>
    <w:p>
      <w:pPr>
        <w:numPr>
          <w:ilvl w:val="1"/>
          <w:numId w:val="1036"/>
        </w:numPr>
        <w:pStyle w:val="Compact"/>
      </w:pPr>
      <w:r>
        <w:t xml:space="preserve">Considérations spécifiques pour l’Afrique</w:t>
      </w:r>
    </w:p>
    <w:p>
      <w:pPr>
        <w:numPr>
          <w:ilvl w:val="0"/>
          <w:numId w:val="1034"/>
        </w:numPr>
        <w:pStyle w:val="Compact"/>
      </w:pPr>
      <w:r>
        <w:t xml:space="preserve">Détection des fake news</w:t>
      </w:r>
    </w:p>
    <w:p>
      <w:pPr>
        <w:numPr>
          <w:ilvl w:val="1"/>
          <w:numId w:val="1037"/>
        </w:numPr>
        <w:pStyle w:val="Compact"/>
      </w:pPr>
      <w:r>
        <w:t xml:space="preserve">Caractéristiques de la désinformation</w:t>
      </w:r>
    </w:p>
    <w:p>
      <w:pPr>
        <w:numPr>
          <w:ilvl w:val="1"/>
          <w:numId w:val="1037"/>
        </w:numPr>
        <w:pStyle w:val="Compact"/>
      </w:pPr>
      <w:r>
        <w:t xml:space="preserve">Outils de détection</w:t>
      </w:r>
    </w:p>
    <w:p>
      <w:pPr>
        <w:numPr>
          <w:ilvl w:val="1"/>
          <w:numId w:val="1037"/>
        </w:numPr>
        <w:pStyle w:val="Compact"/>
      </w:pPr>
      <w:r>
        <w:t xml:space="preserve">Éducation aux médias</w:t>
      </w:r>
    </w:p>
    <w:p>
      <w:pPr>
        <w:numPr>
          <w:ilvl w:val="0"/>
          <w:numId w:val="1034"/>
        </w:numPr>
        <w:pStyle w:val="Compact"/>
      </w:pPr>
      <w:r>
        <w:t xml:space="preserve">Développement de l’esprit critique face à l’IA</w:t>
      </w:r>
    </w:p>
    <w:p>
      <w:pPr>
        <w:numPr>
          <w:ilvl w:val="1"/>
          <w:numId w:val="1038"/>
        </w:numPr>
        <w:pStyle w:val="Compact"/>
      </w:pPr>
      <w:r>
        <w:t xml:space="preserve">Cadre d’évaluation des outputs d’IA</w:t>
      </w:r>
    </w:p>
    <w:p>
      <w:pPr>
        <w:numPr>
          <w:ilvl w:val="1"/>
          <w:numId w:val="1038"/>
        </w:numPr>
        <w:pStyle w:val="Compact"/>
      </w:pPr>
      <w:r>
        <w:t xml:space="preserve">Questions essentielles à poser</w:t>
      </w:r>
    </w:p>
    <w:p>
      <w:pPr>
        <w:numPr>
          <w:ilvl w:val="1"/>
          <w:numId w:val="1038"/>
        </w:numPr>
        <w:pStyle w:val="Compact"/>
      </w:pPr>
      <w:r>
        <w:t xml:space="preserve">Triangulation des informations</w:t>
      </w:r>
    </w:p>
    <w:p>
      <w:pPr>
        <w:numPr>
          <w:ilvl w:val="0"/>
          <w:numId w:val="1034"/>
        </w:numPr>
        <w:pStyle w:val="Compact"/>
      </w:pPr>
      <w:r>
        <w:t xml:space="preserve">Enjeux spécifiques pour l’Afrique de l’Ouest</w:t>
      </w:r>
    </w:p>
    <w:p>
      <w:pPr>
        <w:numPr>
          <w:ilvl w:val="1"/>
          <w:numId w:val="1039"/>
        </w:numPr>
        <w:pStyle w:val="Compact"/>
      </w:pPr>
      <w:r>
        <w:t xml:space="preserve">Contexte informationnel local</w:t>
      </w:r>
    </w:p>
    <w:p>
      <w:pPr>
        <w:numPr>
          <w:ilvl w:val="1"/>
          <w:numId w:val="1039"/>
        </w:numPr>
        <w:pStyle w:val="Compact"/>
      </w:pPr>
      <w:r>
        <w:t xml:space="preserve">Défis linguistiques et culturels</w:t>
      </w:r>
    </w:p>
    <w:p>
      <w:pPr>
        <w:numPr>
          <w:ilvl w:val="1"/>
          <w:numId w:val="1039"/>
        </w:numPr>
        <w:pStyle w:val="Compact"/>
      </w:pPr>
      <w:r>
        <w:t xml:space="preserve">Initiatives régionales</w:t>
      </w:r>
    </w:p>
    <w:bookmarkEnd w:id="33"/>
    <w:bookmarkStart w:id="34" w:name="Xceaaf3efb649cd6a03bd16d6fa17ea50759864c"/>
    <w:p>
      <w:pPr>
        <w:pStyle w:val="Heading3"/>
      </w:pPr>
      <w:r>
        <w:t xml:space="preserve">Chapitre 8: Applications Pratiques pour les ONG et la Gestion de Projets</w:t>
      </w:r>
    </w:p>
    <w:p>
      <w:pPr>
        <w:numPr>
          <w:ilvl w:val="0"/>
          <w:numId w:val="1040"/>
        </w:numPr>
        <w:pStyle w:val="Compact"/>
      </w:pPr>
      <w:r>
        <w:t xml:space="preserve">Élaboration de propositions de projets avec l’IA</w:t>
      </w:r>
    </w:p>
    <w:p>
      <w:pPr>
        <w:numPr>
          <w:ilvl w:val="1"/>
          <w:numId w:val="1041"/>
        </w:numPr>
        <w:pStyle w:val="Compact"/>
      </w:pPr>
      <w:r>
        <w:t xml:space="preserve">Structure d’une proposition efficace</w:t>
      </w:r>
    </w:p>
    <w:p>
      <w:pPr>
        <w:numPr>
          <w:ilvl w:val="1"/>
          <w:numId w:val="1041"/>
        </w:numPr>
        <w:pStyle w:val="Compact"/>
      </w:pPr>
      <w:r>
        <w:t xml:space="preserve">Utilisation de l’IA pour la recherche</w:t>
      </w:r>
    </w:p>
    <w:p>
      <w:pPr>
        <w:numPr>
          <w:ilvl w:val="1"/>
          <w:numId w:val="1041"/>
        </w:numPr>
        <w:pStyle w:val="Compact"/>
      </w:pPr>
      <w:r>
        <w:t xml:space="preserve">Optimisation du langage et de l’argumentation</w:t>
      </w:r>
    </w:p>
    <w:p>
      <w:pPr>
        <w:numPr>
          <w:ilvl w:val="1"/>
          <w:numId w:val="1041"/>
        </w:numPr>
        <w:pStyle w:val="Compact"/>
      </w:pPr>
      <w:r>
        <w:t xml:space="preserve">Adaptation aux exigences des bailleurs de fonds</w:t>
      </w:r>
    </w:p>
    <w:p>
      <w:pPr>
        <w:numPr>
          <w:ilvl w:val="0"/>
          <w:numId w:val="1040"/>
        </w:numPr>
        <w:pStyle w:val="Compact"/>
      </w:pPr>
      <w:r>
        <w:t xml:space="preserve">Création de budgets et planification financière</w:t>
      </w:r>
    </w:p>
    <w:p>
      <w:pPr>
        <w:numPr>
          <w:ilvl w:val="1"/>
          <w:numId w:val="1042"/>
        </w:numPr>
        <w:pStyle w:val="Compact"/>
      </w:pPr>
      <w:r>
        <w:t xml:space="preserve">Modèles de budgets adaptés</w:t>
      </w:r>
    </w:p>
    <w:p>
      <w:pPr>
        <w:numPr>
          <w:ilvl w:val="1"/>
          <w:numId w:val="1042"/>
        </w:numPr>
        <w:pStyle w:val="Compact"/>
      </w:pPr>
      <w:r>
        <w:t xml:space="preserve">Prévisions financières assistées par IA</w:t>
      </w:r>
    </w:p>
    <w:p>
      <w:pPr>
        <w:numPr>
          <w:ilvl w:val="1"/>
          <w:numId w:val="1042"/>
        </w:numPr>
        <w:pStyle w:val="Compact"/>
      </w:pPr>
      <w:r>
        <w:t xml:space="preserve">Analyse de viabilité</w:t>
      </w:r>
    </w:p>
    <w:p>
      <w:pPr>
        <w:numPr>
          <w:ilvl w:val="1"/>
          <w:numId w:val="1042"/>
        </w:numPr>
        <w:pStyle w:val="Compact"/>
      </w:pPr>
      <w:r>
        <w:t xml:space="preserve">Optimisation des ressources</w:t>
      </w:r>
    </w:p>
    <w:p>
      <w:pPr>
        <w:numPr>
          <w:ilvl w:val="0"/>
          <w:numId w:val="1040"/>
        </w:numPr>
        <w:pStyle w:val="Compact"/>
      </w:pPr>
      <w:r>
        <w:t xml:space="preserve">Automatisation des tâches administratives</w:t>
      </w:r>
    </w:p>
    <w:p>
      <w:pPr>
        <w:numPr>
          <w:ilvl w:val="1"/>
          <w:numId w:val="1043"/>
        </w:numPr>
        <w:pStyle w:val="Compact"/>
      </w:pPr>
      <w:r>
        <w:t xml:space="preserve">Gestion documentaire</w:t>
      </w:r>
    </w:p>
    <w:p>
      <w:pPr>
        <w:numPr>
          <w:ilvl w:val="1"/>
          <w:numId w:val="1043"/>
        </w:numPr>
        <w:pStyle w:val="Compact"/>
      </w:pPr>
      <w:r>
        <w:t xml:space="preserve">Suivi des correspondances</w:t>
      </w:r>
    </w:p>
    <w:p>
      <w:pPr>
        <w:numPr>
          <w:ilvl w:val="1"/>
          <w:numId w:val="1043"/>
        </w:numPr>
        <w:pStyle w:val="Compact"/>
      </w:pPr>
      <w:r>
        <w:t xml:space="preserve">Rapports automatisés</w:t>
      </w:r>
    </w:p>
    <w:p>
      <w:pPr>
        <w:numPr>
          <w:ilvl w:val="1"/>
          <w:numId w:val="1043"/>
        </w:numPr>
        <w:pStyle w:val="Compact"/>
      </w:pPr>
      <w:r>
        <w:t xml:space="preserve">Optimisation des processus</w:t>
      </w:r>
    </w:p>
    <w:p>
      <w:pPr>
        <w:numPr>
          <w:ilvl w:val="0"/>
          <w:numId w:val="1040"/>
        </w:numPr>
        <w:pStyle w:val="Compact"/>
      </w:pPr>
      <w:r>
        <w:t xml:space="preserve">Analyse de données pour les ONG</w:t>
      </w:r>
    </w:p>
    <w:p>
      <w:pPr>
        <w:numPr>
          <w:ilvl w:val="1"/>
          <w:numId w:val="1044"/>
        </w:numPr>
        <w:pStyle w:val="Compact"/>
      </w:pPr>
      <w:r>
        <w:t xml:space="preserve">Collecte et nettoyage de données</w:t>
      </w:r>
    </w:p>
    <w:p>
      <w:pPr>
        <w:numPr>
          <w:ilvl w:val="1"/>
          <w:numId w:val="1044"/>
        </w:numPr>
        <w:pStyle w:val="Compact"/>
      </w:pPr>
      <w:r>
        <w:t xml:space="preserve">Visualisation et interprétation</w:t>
      </w:r>
    </w:p>
    <w:p>
      <w:pPr>
        <w:numPr>
          <w:ilvl w:val="1"/>
          <w:numId w:val="1044"/>
        </w:numPr>
        <w:pStyle w:val="Compact"/>
      </w:pPr>
      <w:r>
        <w:t xml:space="preserve">Prise de décision basée sur les données</w:t>
      </w:r>
    </w:p>
    <w:p>
      <w:pPr>
        <w:numPr>
          <w:ilvl w:val="1"/>
          <w:numId w:val="1044"/>
        </w:numPr>
        <w:pStyle w:val="Compact"/>
      </w:pPr>
      <w:r>
        <w:t xml:space="preserve">Évaluation d’impact</w:t>
      </w:r>
    </w:p>
    <w:p>
      <w:pPr>
        <w:numPr>
          <w:ilvl w:val="0"/>
          <w:numId w:val="1040"/>
        </w:numPr>
        <w:pStyle w:val="Compact"/>
      </w:pPr>
      <w:r>
        <w:t xml:space="preserve">Études de cas spécifiques au Togo</w:t>
      </w:r>
    </w:p>
    <w:p>
      <w:pPr>
        <w:numPr>
          <w:ilvl w:val="1"/>
          <w:numId w:val="1045"/>
        </w:numPr>
        <w:pStyle w:val="Compact"/>
      </w:pPr>
      <w:r>
        <w:t xml:space="preserve">Projets de développement rural</w:t>
      </w:r>
    </w:p>
    <w:p>
      <w:pPr>
        <w:numPr>
          <w:ilvl w:val="1"/>
          <w:numId w:val="1045"/>
        </w:numPr>
        <w:pStyle w:val="Compact"/>
      </w:pPr>
      <w:r>
        <w:t xml:space="preserve">Initiatives de santé communautaire</w:t>
      </w:r>
    </w:p>
    <w:p>
      <w:pPr>
        <w:numPr>
          <w:ilvl w:val="1"/>
          <w:numId w:val="1045"/>
        </w:numPr>
        <w:pStyle w:val="Compact"/>
      </w:pPr>
      <w:r>
        <w:t xml:space="preserve">Programmes éducatifs</w:t>
      </w:r>
    </w:p>
    <w:p>
      <w:pPr>
        <w:numPr>
          <w:ilvl w:val="1"/>
          <w:numId w:val="1045"/>
        </w:numPr>
        <w:pStyle w:val="Compact"/>
      </w:pPr>
      <w:r>
        <w:t xml:space="preserve">Projets environnementaux</w:t>
      </w:r>
    </w:p>
    <w:bookmarkEnd w:id="34"/>
    <w:bookmarkStart w:id="35" w:name="Xd92b6f1454cf017acf744cacb4296895b81437f"/>
    <w:p>
      <w:pPr>
        <w:pStyle w:val="Heading3"/>
      </w:pPr>
      <w:r>
        <w:t xml:space="preserve">Chapitre 9: Perspectives d’Avenir et Opportunités pour le Togo</w:t>
      </w:r>
    </w:p>
    <w:p>
      <w:pPr>
        <w:numPr>
          <w:ilvl w:val="0"/>
          <w:numId w:val="1046"/>
        </w:numPr>
        <w:pStyle w:val="Compact"/>
      </w:pPr>
      <w:r>
        <w:t xml:space="preserve">Tendances futures de l’IA</w:t>
      </w:r>
    </w:p>
    <w:p>
      <w:pPr>
        <w:numPr>
          <w:ilvl w:val="1"/>
          <w:numId w:val="1047"/>
        </w:numPr>
        <w:pStyle w:val="Compact"/>
      </w:pPr>
      <w:r>
        <w:t xml:space="preserve">Évolutions technologiques attendues</w:t>
      </w:r>
    </w:p>
    <w:p>
      <w:pPr>
        <w:numPr>
          <w:ilvl w:val="1"/>
          <w:numId w:val="1047"/>
        </w:numPr>
        <w:pStyle w:val="Compact"/>
      </w:pPr>
      <w:r>
        <w:t xml:space="preserve">Nouveaux modèles et capacités</w:t>
      </w:r>
    </w:p>
    <w:p>
      <w:pPr>
        <w:numPr>
          <w:ilvl w:val="1"/>
          <w:numId w:val="1047"/>
        </w:numPr>
        <w:pStyle w:val="Compact"/>
      </w:pPr>
      <w:r>
        <w:t xml:space="preserve">Impact sur les secteurs économiques</w:t>
      </w:r>
    </w:p>
    <w:p>
      <w:pPr>
        <w:numPr>
          <w:ilvl w:val="0"/>
          <w:numId w:val="1046"/>
        </w:numPr>
        <w:pStyle w:val="Compact"/>
      </w:pPr>
      <w:r>
        <w:t xml:space="preserve">Développement des compétences en IA au Togo</w:t>
      </w:r>
    </w:p>
    <w:p>
      <w:pPr>
        <w:numPr>
          <w:ilvl w:val="1"/>
          <w:numId w:val="1048"/>
        </w:numPr>
        <w:pStyle w:val="Compact"/>
      </w:pPr>
      <w:r>
        <w:t xml:space="preserve">Formations disponibles</w:t>
      </w:r>
    </w:p>
    <w:p>
      <w:pPr>
        <w:numPr>
          <w:ilvl w:val="1"/>
          <w:numId w:val="1048"/>
        </w:numPr>
        <w:pStyle w:val="Compact"/>
      </w:pPr>
      <w:r>
        <w:t xml:space="preserve">Communautés d’apprentissage</w:t>
      </w:r>
    </w:p>
    <w:p>
      <w:pPr>
        <w:numPr>
          <w:ilvl w:val="1"/>
          <w:numId w:val="1048"/>
        </w:numPr>
        <w:pStyle w:val="Compact"/>
      </w:pPr>
      <w:r>
        <w:t xml:space="preserve">Partenariats académiques</w:t>
      </w:r>
    </w:p>
    <w:p>
      <w:pPr>
        <w:numPr>
          <w:ilvl w:val="1"/>
          <w:numId w:val="1048"/>
        </w:numPr>
        <w:pStyle w:val="Compact"/>
      </w:pPr>
      <w:r>
        <w:t xml:space="preserve">Stratégies d’autoformation</w:t>
      </w:r>
    </w:p>
    <w:p>
      <w:pPr>
        <w:numPr>
          <w:ilvl w:val="0"/>
          <w:numId w:val="1046"/>
        </w:numPr>
        <w:pStyle w:val="Compact"/>
      </w:pPr>
      <w:r>
        <w:t xml:space="preserve">Opportunités entrepreneuriales</w:t>
      </w:r>
    </w:p>
    <w:p>
      <w:pPr>
        <w:numPr>
          <w:ilvl w:val="1"/>
          <w:numId w:val="1049"/>
        </w:numPr>
        <w:pStyle w:val="Compact"/>
      </w:pPr>
      <w:r>
        <w:t xml:space="preserve">Secteurs à fort potentiel</w:t>
      </w:r>
    </w:p>
    <w:p>
      <w:pPr>
        <w:numPr>
          <w:ilvl w:val="1"/>
          <w:numId w:val="1049"/>
        </w:numPr>
        <w:pStyle w:val="Compact"/>
      </w:pPr>
      <w:r>
        <w:t xml:space="preserve">Modèles d’affaires innovants</w:t>
      </w:r>
    </w:p>
    <w:p>
      <w:pPr>
        <w:numPr>
          <w:ilvl w:val="1"/>
          <w:numId w:val="1049"/>
        </w:numPr>
        <w:pStyle w:val="Compact"/>
      </w:pPr>
      <w:r>
        <w:t xml:space="preserve">Financement et incubation</w:t>
      </w:r>
    </w:p>
    <w:p>
      <w:pPr>
        <w:numPr>
          <w:ilvl w:val="1"/>
          <w:numId w:val="1049"/>
        </w:numPr>
        <w:pStyle w:val="Compact"/>
      </w:pPr>
      <w:r>
        <w:t xml:space="preserve">Success stories africaines</w:t>
      </w:r>
    </w:p>
    <w:p>
      <w:pPr>
        <w:numPr>
          <w:ilvl w:val="0"/>
          <w:numId w:val="1046"/>
        </w:numPr>
        <w:pStyle w:val="Compact"/>
      </w:pPr>
      <w:r>
        <w:t xml:space="preserve">Défis et solutions pour l’adoption de l’IA</w:t>
      </w:r>
    </w:p>
    <w:p>
      <w:pPr>
        <w:numPr>
          <w:ilvl w:val="1"/>
          <w:numId w:val="1050"/>
        </w:numPr>
        <w:pStyle w:val="Compact"/>
      </w:pPr>
      <w:r>
        <w:t xml:space="preserve">Obstacles infrastructurels</w:t>
      </w:r>
    </w:p>
    <w:p>
      <w:pPr>
        <w:numPr>
          <w:ilvl w:val="1"/>
          <w:numId w:val="1050"/>
        </w:numPr>
        <w:pStyle w:val="Compact"/>
      </w:pPr>
      <w:r>
        <w:t xml:space="preserve">Défis de compétences</w:t>
      </w:r>
    </w:p>
    <w:p>
      <w:pPr>
        <w:numPr>
          <w:ilvl w:val="1"/>
          <w:numId w:val="1050"/>
        </w:numPr>
        <w:pStyle w:val="Compact"/>
      </w:pPr>
      <w:r>
        <w:t xml:space="preserve">Questions réglementaires</w:t>
      </w:r>
    </w:p>
    <w:p>
      <w:pPr>
        <w:numPr>
          <w:ilvl w:val="1"/>
          <w:numId w:val="1050"/>
        </w:numPr>
        <w:pStyle w:val="Compact"/>
      </w:pPr>
      <w:r>
        <w:t xml:space="preserve">Stratégies de contournement</w:t>
      </w:r>
    </w:p>
    <w:p>
      <w:pPr>
        <w:numPr>
          <w:ilvl w:val="0"/>
          <w:numId w:val="1046"/>
        </w:numPr>
        <w:pStyle w:val="Compact"/>
      </w:pPr>
      <w:r>
        <w:t xml:space="preserve">Création d’un écosystème d’innovation</w:t>
      </w:r>
    </w:p>
    <w:p>
      <w:pPr>
        <w:numPr>
          <w:ilvl w:val="1"/>
          <w:numId w:val="1051"/>
        </w:numPr>
        <w:pStyle w:val="Compact"/>
      </w:pPr>
      <w:r>
        <w:t xml:space="preserve">Rôle des incubateurs</w:t>
      </w:r>
    </w:p>
    <w:p>
      <w:pPr>
        <w:numPr>
          <w:ilvl w:val="1"/>
          <w:numId w:val="1051"/>
        </w:numPr>
        <w:pStyle w:val="Compact"/>
      </w:pPr>
      <w:r>
        <w:t xml:space="preserve">Collaboration public-privé</w:t>
      </w:r>
    </w:p>
    <w:p>
      <w:pPr>
        <w:numPr>
          <w:ilvl w:val="1"/>
          <w:numId w:val="1051"/>
        </w:numPr>
        <w:pStyle w:val="Compact"/>
      </w:pPr>
      <w:r>
        <w:t xml:space="preserve">Réseaux régionaux et internationaux</w:t>
      </w:r>
    </w:p>
    <w:p>
      <w:pPr>
        <w:numPr>
          <w:ilvl w:val="1"/>
          <w:numId w:val="1051"/>
        </w:numPr>
        <w:pStyle w:val="Compact"/>
      </w:pPr>
      <w:r>
        <w:t xml:space="preserve">Vision à long terme</w:t>
      </w:r>
    </w:p>
    <w:bookmarkEnd w:id="35"/>
    <w:bookmarkStart w:id="36" w:name="chapitre-10-conclusion-et-ressources"/>
    <w:p>
      <w:pPr>
        <w:pStyle w:val="Heading3"/>
      </w:pPr>
      <w:r>
        <w:t xml:space="preserve">Chapitre 10: Conclusion et Ressources</w:t>
      </w:r>
    </w:p>
    <w:p>
      <w:pPr>
        <w:numPr>
          <w:ilvl w:val="0"/>
          <w:numId w:val="1052"/>
        </w:numPr>
        <w:pStyle w:val="Compact"/>
      </w:pPr>
      <w:r>
        <w:t xml:space="preserve">Synthèse des apprentissages</w:t>
      </w:r>
    </w:p>
    <w:p>
      <w:pPr>
        <w:numPr>
          <w:ilvl w:val="1"/>
          <w:numId w:val="1053"/>
        </w:numPr>
        <w:pStyle w:val="Compact"/>
      </w:pPr>
      <w:r>
        <w:t xml:space="preserve">Points clés de chaque chapitre</w:t>
      </w:r>
    </w:p>
    <w:p>
      <w:pPr>
        <w:numPr>
          <w:ilvl w:val="1"/>
          <w:numId w:val="1053"/>
        </w:numPr>
        <w:pStyle w:val="Compact"/>
      </w:pPr>
      <w:r>
        <w:t xml:space="preserve">Interconnexions entre les concepts</w:t>
      </w:r>
    </w:p>
    <w:p>
      <w:pPr>
        <w:numPr>
          <w:ilvl w:val="1"/>
          <w:numId w:val="1053"/>
        </w:numPr>
        <w:pStyle w:val="Compact"/>
      </w:pPr>
      <w:r>
        <w:t xml:space="preserve">Applications transversales</w:t>
      </w:r>
    </w:p>
    <w:p>
      <w:pPr>
        <w:numPr>
          <w:ilvl w:val="0"/>
          <w:numId w:val="1052"/>
        </w:numPr>
        <w:pStyle w:val="Compact"/>
      </w:pPr>
      <w:r>
        <w:t xml:space="preserve">Ressources pour continuer l’apprentissage</w:t>
      </w:r>
    </w:p>
    <w:p>
      <w:pPr>
        <w:numPr>
          <w:ilvl w:val="1"/>
          <w:numId w:val="1054"/>
        </w:numPr>
        <w:pStyle w:val="Compact"/>
      </w:pPr>
      <w:r>
        <w:t xml:space="preserve">Livres et publications</w:t>
      </w:r>
    </w:p>
    <w:p>
      <w:pPr>
        <w:numPr>
          <w:ilvl w:val="1"/>
          <w:numId w:val="1054"/>
        </w:numPr>
        <w:pStyle w:val="Compact"/>
      </w:pPr>
      <w:r>
        <w:t xml:space="preserve">Cours en ligne</w:t>
      </w:r>
    </w:p>
    <w:p>
      <w:pPr>
        <w:numPr>
          <w:ilvl w:val="1"/>
          <w:numId w:val="1054"/>
        </w:numPr>
        <w:pStyle w:val="Compact"/>
      </w:pPr>
      <w:r>
        <w:t xml:space="preserve">Tutoriels et documentation</w:t>
      </w:r>
    </w:p>
    <w:p>
      <w:pPr>
        <w:numPr>
          <w:ilvl w:val="1"/>
          <w:numId w:val="1054"/>
        </w:numPr>
        <w:pStyle w:val="Compact"/>
      </w:pPr>
      <w:r>
        <w:t xml:space="preserve">Ressources gratuites et accessibles</w:t>
      </w:r>
    </w:p>
    <w:p>
      <w:pPr>
        <w:numPr>
          <w:ilvl w:val="0"/>
          <w:numId w:val="1052"/>
        </w:numPr>
        <w:pStyle w:val="Compact"/>
      </w:pPr>
      <w:r>
        <w:t xml:space="preserve">Communautés et réseaux à rejoindre</w:t>
      </w:r>
    </w:p>
    <w:p>
      <w:pPr>
        <w:numPr>
          <w:ilvl w:val="1"/>
          <w:numId w:val="1055"/>
        </w:numPr>
        <w:pStyle w:val="Compact"/>
      </w:pPr>
      <w:r>
        <w:t xml:space="preserve">Groupes locaux et régionaux</w:t>
      </w:r>
    </w:p>
    <w:p>
      <w:pPr>
        <w:numPr>
          <w:ilvl w:val="1"/>
          <w:numId w:val="1055"/>
        </w:numPr>
        <w:pStyle w:val="Compact"/>
      </w:pPr>
      <w:r>
        <w:t xml:space="preserve">Communautés en ligne</w:t>
      </w:r>
    </w:p>
    <w:p>
      <w:pPr>
        <w:numPr>
          <w:ilvl w:val="1"/>
          <w:numId w:val="1055"/>
        </w:numPr>
        <w:pStyle w:val="Compact"/>
      </w:pPr>
      <w:r>
        <w:t xml:space="preserve">Événements et conférences</w:t>
      </w:r>
    </w:p>
    <w:p>
      <w:pPr>
        <w:numPr>
          <w:ilvl w:val="1"/>
          <w:numId w:val="1055"/>
        </w:numPr>
        <w:pStyle w:val="Compact"/>
      </w:pPr>
      <w:r>
        <w:t xml:space="preserve">Opportunités de networking</w:t>
      </w:r>
    </w:p>
    <w:p>
      <w:pPr>
        <w:numPr>
          <w:ilvl w:val="0"/>
          <w:numId w:val="1052"/>
        </w:numPr>
        <w:pStyle w:val="Compact"/>
      </w:pPr>
      <w:r>
        <w:t xml:space="preserve">Outils et plateformes recommandés</w:t>
      </w:r>
    </w:p>
    <w:p>
      <w:pPr>
        <w:numPr>
          <w:ilvl w:val="1"/>
          <w:numId w:val="1056"/>
        </w:numPr>
        <w:pStyle w:val="Compact"/>
      </w:pPr>
      <w:r>
        <w:t xml:space="preserve">Solutions gratuites et open source</w:t>
      </w:r>
    </w:p>
    <w:p>
      <w:pPr>
        <w:numPr>
          <w:ilvl w:val="1"/>
          <w:numId w:val="1056"/>
        </w:numPr>
        <w:pStyle w:val="Compact"/>
      </w:pPr>
      <w:r>
        <w:t xml:space="preserve">Options commerciales avec essais gratuits</w:t>
      </w:r>
    </w:p>
    <w:p>
      <w:pPr>
        <w:numPr>
          <w:ilvl w:val="1"/>
          <w:numId w:val="1056"/>
        </w:numPr>
        <w:pStyle w:val="Compact"/>
      </w:pPr>
      <w:r>
        <w:t xml:space="preserve">Alternatives adaptées aux contraintes locales</w:t>
      </w:r>
    </w:p>
    <w:p>
      <w:pPr>
        <w:numPr>
          <w:ilvl w:val="1"/>
          <w:numId w:val="1056"/>
        </w:numPr>
        <w:pStyle w:val="Compact"/>
      </w:pPr>
      <w:r>
        <w:t xml:space="preserve">Comparatif des fonctionnalités</w:t>
      </w:r>
    </w:p>
    <w:p>
      <w:pPr>
        <w:numPr>
          <w:ilvl w:val="0"/>
          <w:numId w:val="1052"/>
        </w:numPr>
        <w:pStyle w:val="Compact"/>
      </w:pPr>
      <w:r>
        <w:t xml:space="preserve">Feuille de route pour l’implémentation</w:t>
      </w:r>
    </w:p>
    <w:p>
      <w:pPr>
        <w:numPr>
          <w:ilvl w:val="1"/>
          <w:numId w:val="1057"/>
        </w:numPr>
        <w:pStyle w:val="Compact"/>
      </w:pPr>
      <w:r>
        <w:t xml:space="preserve">Étapes progressives d’adoption</w:t>
      </w:r>
    </w:p>
    <w:p>
      <w:pPr>
        <w:numPr>
          <w:ilvl w:val="1"/>
          <w:numId w:val="1057"/>
        </w:numPr>
        <w:pStyle w:val="Compact"/>
      </w:pPr>
      <w:r>
        <w:t xml:space="preserve">Indicateurs de succès</w:t>
      </w:r>
    </w:p>
    <w:p>
      <w:pPr>
        <w:numPr>
          <w:ilvl w:val="1"/>
          <w:numId w:val="1057"/>
        </w:numPr>
        <w:pStyle w:val="Compact"/>
      </w:pPr>
      <w:r>
        <w:t xml:space="preserve">Gestion du changement</w:t>
      </w:r>
    </w:p>
    <w:p>
      <w:pPr>
        <w:numPr>
          <w:ilvl w:val="1"/>
          <w:numId w:val="1057"/>
        </w:numPr>
        <w:pStyle w:val="Compact"/>
      </w:pPr>
      <w:r>
        <w:t xml:space="preserve">Évolution à long terme</w:t>
      </w:r>
    </w:p>
    <w:bookmarkEnd w:id="36"/>
    <w:bookmarkEnd w:id="37"/>
    <w:bookmarkStart w:id="38" w:name="ressources-complémentaires-à-développer"/>
    <w:p>
      <w:pPr>
        <w:pStyle w:val="Heading2"/>
      </w:pPr>
      <w:r>
        <w:t xml:space="preserve">Ressources complémentaires à développer</w:t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Fiches récapitulatives</w:t>
      </w:r>
      <w:r>
        <w:t xml:space="preserve"> </w:t>
      </w:r>
      <w:r>
        <w:t xml:space="preserve">pour chaque chapitre</w:t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Glossaire</w:t>
      </w:r>
      <w:r>
        <w:t xml:space="preserve"> </w:t>
      </w:r>
      <w:r>
        <w:t xml:space="preserve">français-anglais des termes techniques</w:t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Bibliothèque de prompts</w:t>
      </w:r>
      <w:r>
        <w:t xml:space="preserve"> </w:t>
      </w:r>
      <w:r>
        <w:t xml:space="preserve">adaptés au contexte togolais</w:t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Guides pratiques</w:t>
      </w:r>
      <w:r>
        <w:t xml:space="preserve"> </w:t>
      </w:r>
      <w:r>
        <w:t xml:space="preserve">pour l’utilisation des principaux outils</w:t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Études de cas détaillées</w:t>
      </w:r>
      <w:r>
        <w:t xml:space="preserve"> </w:t>
      </w:r>
      <w:r>
        <w:t xml:space="preserve">d’entreprises africaines</w:t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Modèles de documents</w:t>
      </w:r>
      <w:r>
        <w:t xml:space="preserve"> </w:t>
      </w:r>
      <w:r>
        <w:t xml:space="preserve">(propositions, budgets, etc.)</w:t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Liste de ressources</w:t>
      </w:r>
      <w:r>
        <w:t xml:space="preserve"> </w:t>
      </w:r>
      <w:r>
        <w:t xml:space="preserve">accessibles au Togo</w:t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Questionnaires d’évaluation</w:t>
      </w:r>
      <w:r>
        <w:t xml:space="preserve"> </w:t>
      </w:r>
      <w:r>
        <w:t xml:space="preserve">pour chaque module</w:t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Diapositives complètes</w:t>
      </w:r>
      <w:r>
        <w:t xml:space="preserve"> </w:t>
      </w:r>
      <w:r>
        <w:t xml:space="preserve">pour l’ensemble du séminaire</w:t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Plan d’action personnalisable</w:t>
      </w:r>
      <w:r>
        <w:t xml:space="preserve"> </w:t>
      </w:r>
      <w:r>
        <w:t xml:space="preserve">pour l’adoption de l’IA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2025-07-18T16:11:52Z</dcterms:created>
  <dcterms:modified xsi:type="dcterms:W3CDTF">2025-07-18T16:11:52Z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