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35c98457bfbb130a882ea0f2c3f6d48d34d0db6"/>
    <w:p>
      <w:pPr>
        <w:pStyle w:val="Heading1"/>
      </w:pPr>
      <w:r>
        <w:t xml:space="preserve">Liste de Validation pour la Documentation du Séminaire IA au Togo</w:t>
      </w:r>
    </w:p>
    <w:bookmarkStart w:id="20" w:name="objectif"/>
    <w:p>
      <w:pPr>
        <w:pStyle w:val="Heading2"/>
      </w:pPr>
      <w:r>
        <w:t xml:space="preserve">Objectif</w:t>
      </w:r>
    </w:p>
    <w:p>
      <w:pPr>
        <w:pStyle w:val="FirstParagraph"/>
      </w:pPr>
      <w:r>
        <w:t xml:space="preserve">Vérifier systématiquement que la documentation enrichie visuellement est complète, cohérente et pédagogiquement efficace avant de passer à la création des diapositives.</w:t>
      </w:r>
    </w:p>
    <w:bookmarkEnd w:id="20"/>
    <w:bookmarkStart w:id="24" w:name="validation-du-contenu-général"/>
    <w:p>
      <w:pPr>
        <w:pStyle w:val="Heading2"/>
      </w:pPr>
      <w:r>
        <w:t xml:space="preserve">Validation du Contenu Général</w:t>
      </w:r>
    </w:p>
    <w:bookmarkStart w:id="21" w:name="structure-et-organisation"/>
    <w:p>
      <w:pPr>
        <w:pStyle w:val="Heading3"/>
      </w:pPr>
      <w:r>
        <w:t xml:space="preserve">Structure et Organisation</w:t>
      </w:r>
    </w:p>
    <w:p>
      <w:pPr>
        <w:numPr>
          <w:ilvl w:val="0"/>
          <w:numId w:val="1001"/>
        </w:numPr>
        <w:pStyle w:val="Compact"/>
      </w:pPr>
      <w:r>
        <w:t xml:space="preserve">☒ Tous les 10 chapitres sont présents et complets</w:t>
      </w:r>
    </w:p>
    <w:p>
      <w:pPr>
        <w:numPr>
          <w:ilvl w:val="0"/>
          <w:numId w:val="1001"/>
        </w:numPr>
        <w:pStyle w:val="Compact"/>
      </w:pPr>
      <w:r>
        <w:t xml:space="preserve">☒ La progression logique entre les chapitres est claire</w:t>
      </w:r>
    </w:p>
    <w:p>
      <w:pPr>
        <w:numPr>
          <w:ilvl w:val="0"/>
          <w:numId w:val="1001"/>
        </w:numPr>
        <w:pStyle w:val="Compact"/>
      </w:pPr>
      <w:r>
        <w:t xml:space="preserve">☒ Les sections au sein de chaque chapitre sont bien organisées</w:t>
      </w:r>
    </w:p>
    <w:p>
      <w:pPr>
        <w:numPr>
          <w:ilvl w:val="0"/>
          <w:numId w:val="1001"/>
        </w:numPr>
        <w:pStyle w:val="Compact"/>
      </w:pPr>
      <w:r>
        <w:t xml:space="preserve">☒ Les transitions entre les sections sont fluides</w:t>
      </w:r>
    </w:p>
    <w:bookmarkEnd w:id="21"/>
    <w:bookmarkStart w:id="22" w:name="adaptation-au-contexte"/>
    <w:p>
      <w:pPr>
        <w:pStyle w:val="Heading3"/>
      </w:pPr>
      <w:r>
        <w:t xml:space="preserve">Adaptation au Contexte</w:t>
      </w:r>
    </w:p>
    <w:p>
      <w:pPr>
        <w:numPr>
          <w:ilvl w:val="0"/>
          <w:numId w:val="1002"/>
        </w:numPr>
        <w:pStyle w:val="Compact"/>
      </w:pPr>
      <w:r>
        <w:t xml:space="preserve">☒ Contenu adapté au contexte togolais et ouest-africain</w:t>
      </w:r>
    </w:p>
    <w:p>
      <w:pPr>
        <w:numPr>
          <w:ilvl w:val="0"/>
          <w:numId w:val="1002"/>
        </w:numPr>
        <w:pStyle w:val="Compact"/>
      </w:pPr>
      <w:r>
        <w:t xml:space="preserve">☒ Exemples pertinents pour les PME et organisations locales</w:t>
      </w:r>
    </w:p>
    <w:p>
      <w:pPr>
        <w:numPr>
          <w:ilvl w:val="0"/>
          <w:numId w:val="1002"/>
        </w:numPr>
        <w:pStyle w:val="Compact"/>
      </w:pPr>
      <w:r>
        <w:t xml:space="preserve">☒ Considération des contraintes technologiques locales</w:t>
      </w:r>
    </w:p>
    <w:p>
      <w:pPr>
        <w:numPr>
          <w:ilvl w:val="0"/>
          <w:numId w:val="1002"/>
        </w:numPr>
        <w:pStyle w:val="Compact"/>
      </w:pPr>
      <w:r>
        <w:t xml:space="preserve">☒ Références aux initiatives d’IA existantes au Togo</w:t>
      </w:r>
    </w:p>
    <w:bookmarkEnd w:id="22"/>
    <w:bookmarkStart w:id="23" w:name="qualité-pédagogique"/>
    <w:p>
      <w:pPr>
        <w:pStyle w:val="Heading3"/>
      </w:pPr>
      <w:r>
        <w:t xml:space="preserve">Qualité Pédagogique</w:t>
      </w:r>
    </w:p>
    <w:p>
      <w:pPr>
        <w:numPr>
          <w:ilvl w:val="0"/>
          <w:numId w:val="1003"/>
        </w:numPr>
        <w:pStyle w:val="Compact"/>
      </w:pPr>
      <w:r>
        <w:t xml:space="preserve">☒ Langage clair et accessible en français</w:t>
      </w:r>
    </w:p>
    <w:p>
      <w:pPr>
        <w:numPr>
          <w:ilvl w:val="0"/>
          <w:numId w:val="1003"/>
        </w:numPr>
        <w:pStyle w:val="Compact"/>
      </w:pPr>
      <w:r>
        <w:t xml:space="preserve">☒ Concepts techniques bien expliqués pour un public de niveau intermédiaire</w:t>
      </w:r>
    </w:p>
    <w:p>
      <w:pPr>
        <w:numPr>
          <w:ilvl w:val="0"/>
          <w:numId w:val="1003"/>
        </w:numPr>
        <w:pStyle w:val="Compact"/>
      </w:pPr>
      <w:r>
        <w:t xml:space="preserve">☒ Équilibre entre théorie et applications pratiques</w:t>
      </w:r>
    </w:p>
    <w:p>
      <w:pPr>
        <w:numPr>
          <w:ilvl w:val="0"/>
          <w:numId w:val="1003"/>
        </w:numPr>
        <w:pStyle w:val="Compact"/>
      </w:pPr>
      <w:r>
        <w:t xml:space="preserve">☒ Exercices pertinents pour renforcer l’apprentissage</w:t>
      </w:r>
    </w:p>
    <w:bookmarkEnd w:id="23"/>
    <w:bookmarkEnd w:id="24"/>
    <w:bookmarkStart w:id="29" w:name="validation-des-éléments-visuels"/>
    <w:p>
      <w:pPr>
        <w:pStyle w:val="Heading2"/>
      </w:pPr>
      <w:r>
        <w:t xml:space="preserve">Validation des Éléments Visuels</w:t>
      </w:r>
    </w:p>
    <w:bookmarkStart w:id="25" w:name="intégration-des-visuels"/>
    <w:p>
      <w:pPr>
        <w:pStyle w:val="Heading3"/>
      </w:pPr>
      <w:r>
        <w:t xml:space="preserve">Intégration des Visuels</w:t>
      </w:r>
    </w:p>
    <w:p>
      <w:pPr>
        <w:numPr>
          <w:ilvl w:val="0"/>
          <w:numId w:val="1004"/>
        </w:numPr>
        <w:pStyle w:val="Compact"/>
      </w:pPr>
      <w:r>
        <w:t xml:space="preserve">☒ Chaque chapitre contient des éléments visuels pertinents</w:t>
      </w:r>
    </w:p>
    <w:p>
      <w:pPr>
        <w:numPr>
          <w:ilvl w:val="0"/>
          <w:numId w:val="1004"/>
        </w:numPr>
        <w:pStyle w:val="Compact"/>
      </w:pPr>
      <w:r>
        <w:t xml:space="preserve">☒ Les références aux images sont correctement placées dans le texte</w:t>
      </w:r>
    </w:p>
    <w:p>
      <w:pPr>
        <w:numPr>
          <w:ilvl w:val="0"/>
          <w:numId w:val="1004"/>
        </w:numPr>
        <w:pStyle w:val="Compact"/>
      </w:pPr>
      <w:r>
        <w:t xml:space="preserve">☒ Les légendes et descriptions des images sont informatives</w:t>
      </w:r>
    </w:p>
    <w:p>
      <w:pPr>
        <w:numPr>
          <w:ilvl w:val="0"/>
          <w:numId w:val="1004"/>
        </w:numPr>
        <w:pStyle w:val="Compact"/>
      </w:pPr>
      <w:r>
        <w:t xml:space="preserve">☒ La distribution des visuels est équilibrée à travers le document</w:t>
      </w:r>
    </w:p>
    <w:bookmarkEnd w:id="25"/>
    <w:bookmarkStart w:id="26" w:name="pertinence-pédagogique"/>
    <w:p>
      <w:pPr>
        <w:pStyle w:val="Heading3"/>
      </w:pPr>
      <w:r>
        <w:t xml:space="preserve">Pertinence Pédagogique</w:t>
      </w:r>
    </w:p>
    <w:p>
      <w:pPr>
        <w:numPr>
          <w:ilvl w:val="0"/>
          <w:numId w:val="1005"/>
        </w:numPr>
        <w:pStyle w:val="Compact"/>
      </w:pPr>
      <w:r>
        <w:t xml:space="preserve">☒ Les visuels clarifient les concepts complexes</w:t>
      </w:r>
    </w:p>
    <w:p>
      <w:pPr>
        <w:numPr>
          <w:ilvl w:val="0"/>
          <w:numId w:val="1005"/>
        </w:numPr>
        <w:pStyle w:val="Compact"/>
      </w:pPr>
      <w:r>
        <w:t xml:space="preserve">☒ Les infographies résument efficacement les informations clés</w:t>
      </w:r>
    </w:p>
    <w:p>
      <w:pPr>
        <w:numPr>
          <w:ilvl w:val="0"/>
          <w:numId w:val="1005"/>
        </w:numPr>
        <w:pStyle w:val="Compact"/>
      </w:pPr>
      <w:r>
        <w:t xml:space="preserve">☒ Les diagrammes illustrent clairement les processus</w:t>
      </w:r>
    </w:p>
    <w:p>
      <w:pPr>
        <w:numPr>
          <w:ilvl w:val="0"/>
          <w:numId w:val="1005"/>
        </w:numPr>
        <w:pStyle w:val="Compact"/>
      </w:pPr>
      <w:r>
        <w:t xml:space="preserve">☒ Les graphiques présentent des données pertinentes pour le contexte</w:t>
      </w:r>
    </w:p>
    <w:bookmarkEnd w:id="26"/>
    <w:bookmarkStart w:id="27" w:name="qualité-technique"/>
    <w:p>
      <w:pPr>
        <w:pStyle w:val="Heading3"/>
      </w:pPr>
      <w:r>
        <w:t xml:space="preserve">Qualité Technique</w:t>
      </w:r>
    </w:p>
    <w:p>
      <w:pPr>
        <w:numPr>
          <w:ilvl w:val="0"/>
          <w:numId w:val="1006"/>
        </w:numPr>
        <w:pStyle w:val="Compact"/>
      </w:pPr>
      <w:r>
        <w:t xml:space="preserve">☒ Résolution et lisibilité adéquates pour tous les visuels</w:t>
      </w:r>
    </w:p>
    <w:p>
      <w:pPr>
        <w:numPr>
          <w:ilvl w:val="0"/>
          <w:numId w:val="1006"/>
        </w:numPr>
        <w:pStyle w:val="Compact"/>
      </w:pPr>
      <w:r>
        <w:t xml:space="preserve">☒ Cohérence stylistique entre les différents éléments visuels</w:t>
      </w:r>
    </w:p>
    <w:p>
      <w:pPr>
        <w:numPr>
          <w:ilvl w:val="0"/>
          <w:numId w:val="1006"/>
        </w:numPr>
        <w:pStyle w:val="Compact"/>
      </w:pPr>
      <w:r>
        <w:t xml:space="preserve">☒ Palette de couleurs appropriée et accessible</w:t>
      </w:r>
    </w:p>
    <w:p>
      <w:pPr>
        <w:numPr>
          <w:ilvl w:val="0"/>
          <w:numId w:val="1006"/>
        </w:numPr>
        <w:pStyle w:val="Compact"/>
      </w:pPr>
      <w:r>
        <w:t xml:space="preserve">☒ Taille et positionnement optimaux</w:t>
      </w:r>
    </w:p>
    <w:bookmarkEnd w:id="27"/>
    <w:bookmarkStart w:id="28" w:name="attribution-et-droits"/>
    <w:p>
      <w:pPr>
        <w:pStyle w:val="Heading3"/>
      </w:pPr>
      <w:r>
        <w:t xml:space="preserve">Attribution et Droits</w:t>
      </w:r>
    </w:p>
    <w:p>
      <w:pPr>
        <w:numPr>
          <w:ilvl w:val="0"/>
          <w:numId w:val="1007"/>
        </w:numPr>
        <w:pStyle w:val="Compact"/>
      </w:pPr>
      <w:r>
        <w:t xml:space="preserve">☒ Sources correctement citées pour les images externes</w:t>
      </w:r>
    </w:p>
    <w:p>
      <w:pPr>
        <w:numPr>
          <w:ilvl w:val="0"/>
          <w:numId w:val="1007"/>
        </w:numPr>
        <w:pStyle w:val="Compact"/>
      </w:pPr>
      <w:r>
        <w:t xml:space="preserve">☒ Crédits appropriés pour les infographies adaptées</w:t>
      </w:r>
    </w:p>
    <w:p>
      <w:pPr>
        <w:numPr>
          <w:ilvl w:val="0"/>
          <w:numId w:val="1007"/>
        </w:numPr>
        <w:pStyle w:val="Compact"/>
      </w:pPr>
      <w:r>
        <w:t xml:space="preserve">☒ Mention claire des images générées ou créées spécifiquement</w:t>
      </w:r>
    </w:p>
    <w:bookmarkEnd w:id="28"/>
    <w:bookmarkEnd w:id="29"/>
    <w:bookmarkStart w:id="40" w:name="validation-par-chapitre"/>
    <w:p>
      <w:pPr>
        <w:pStyle w:val="Heading2"/>
      </w:pPr>
      <w:r>
        <w:t xml:space="preserve">Validation par Chapitre</w:t>
      </w:r>
    </w:p>
    <w:bookmarkStart w:id="30" w:name="X5ecbac5f572177bf3f8bf15f9c53bbea93a40c4"/>
    <w:p>
      <w:pPr>
        <w:pStyle w:val="Heading3"/>
      </w:pPr>
      <w:r>
        <w:t xml:space="preserve">Chapitre 1: Introduction à l’Intelligence Artificielle</w:t>
      </w:r>
    </w:p>
    <w:p>
      <w:pPr>
        <w:numPr>
          <w:ilvl w:val="0"/>
          <w:numId w:val="1008"/>
        </w:numPr>
        <w:pStyle w:val="Compact"/>
      </w:pPr>
      <w:r>
        <w:t xml:space="preserve">☒ Intégration de schema_fonctionnement_ia.png</w:t>
      </w:r>
    </w:p>
    <w:p>
      <w:pPr>
        <w:numPr>
          <w:ilvl w:val="0"/>
          <w:numId w:val="1008"/>
        </w:numPr>
        <w:pStyle w:val="Compact"/>
      </w:pPr>
      <w:r>
        <w:t xml:space="preserve">☒ Intégration de infographie_ia_perception.jpg</w:t>
      </w:r>
    </w:p>
    <w:p>
      <w:pPr>
        <w:numPr>
          <w:ilvl w:val="0"/>
          <w:numId w:val="1008"/>
        </w:numPr>
        <w:pStyle w:val="Compact"/>
      </w:pPr>
      <w:r>
        <w:t xml:space="preserve">☒ Intégration de semaine_ia_togo.jpeg</w:t>
      </w:r>
    </w:p>
    <w:p>
      <w:pPr>
        <w:numPr>
          <w:ilvl w:val="0"/>
          <w:numId w:val="1008"/>
        </w:numPr>
        <w:pStyle w:val="Compact"/>
      </w:pPr>
      <w:r>
        <w:t xml:space="preserve">☒ Intégration de types_ia_togo.png</w:t>
      </w:r>
    </w:p>
    <w:bookmarkEnd w:id="30"/>
    <w:bookmarkStart w:id="31" w:name="X570f43fa59d2d0a0cbb7057137973098e605873"/>
    <w:p>
      <w:pPr>
        <w:pStyle w:val="Heading3"/>
      </w:pPr>
      <w:r>
        <w:t xml:space="preserve">Chapitre 2: Les Différents LLMs et leurs Caractéristiques</w:t>
      </w:r>
    </w:p>
    <w:p>
      <w:pPr>
        <w:numPr>
          <w:ilvl w:val="0"/>
          <w:numId w:val="1009"/>
        </w:numPr>
        <w:pStyle w:val="Compact"/>
      </w:pPr>
      <w:r>
        <w:t xml:space="preserve">☒ Intégration de comparaison_llms.png</w:t>
      </w:r>
    </w:p>
    <w:p>
      <w:pPr>
        <w:numPr>
          <w:ilvl w:val="0"/>
          <w:numId w:val="1009"/>
        </w:numPr>
        <w:pStyle w:val="Compact"/>
      </w:pPr>
      <w:r>
        <w:t xml:space="preserve">☒ Intégration de rise_of_llms.png</w:t>
      </w:r>
    </w:p>
    <w:p>
      <w:pPr>
        <w:numPr>
          <w:ilvl w:val="0"/>
          <w:numId w:val="1009"/>
        </w:numPr>
        <w:pStyle w:val="Compact"/>
      </w:pPr>
      <w:r>
        <w:t xml:space="preserve">☒ Références correctes aux modèles pertinents pour le Togo</w:t>
      </w:r>
    </w:p>
    <w:bookmarkEnd w:id="31"/>
    <w:bookmarkStart w:id="32" w:name="X360c7fdb5123acf7a22cc778634d4bc428bbeb8"/>
    <w:p>
      <w:pPr>
        <w:pStyle w:val="Heading3"/>
      </w:pPr>
      <w:r>
        <w:t xml:space="preserve">Chapitre 3: Catégories de Modèles selon la Modalité</w:t>
      </w:r>
    </w:p>
    <w:p>
      <w:pPr>
        <w:numPr>
          <w:ilvl w:val="0"/>
          <w:numId w:val="1010"/>
        </w:numPr>
        <w:pStyle w:val="Compact"/>
      </w:pPr>
      <w:r>
        <w:t xml:space="preserve">☒ Visuels illustrant les différentes modalités</w:t>
      </w:r>
    </w:p>
    <w:p>
      <w:pPr>
        <w:numPr>
          <w:ilvl w:val="0"/>
          <w:numId w:val="1010"/>
        </w:numPr>
        <w:pStyle w:val="Compact"/>
      </w:pPr>
      <w:r>
        <w:t xml:space="preserve">☒ Exemples adaptés au contexte local</w:t>
      </w:r>
    </w:p>
    <w:bookmarkEnd w:id="32"/>
    <w:bookmarkStart w:id="33" w:name="chapitre-4-avatars-voix-et-ia-générative"/>
    <w:p>
      <w:pPr>
        <w:pStyle w:val="Heading3"/>
      </w:pPr>
      <w:r>
        <w:t xml:space="preserve">Chapitre 4: Avatars, Voix et IA Générative</w:t>
      </w:r>
    </w:p>
    <w:p>
      <w:pPr>
        <w:numPr>
          <w:ilvl w:val="0"/>
          <w:numId w:val="1011"/>
        </w:numPr>
        <w:pStyle w:val="Compact"/>
      </w:pPr>
      <w:r>
        <w:t xml:space="preserve">☒ Illustrations des applications d’avatars et de synthèse vocale</w:t>
      </w:r>
    </w:p>
    <w:p>
      <w:pPr>
        <w:numPr>
          <w:ilvl w:val="0"/>
          <w:numId w:val="1011"/>
        </w:numPr>
        <w:pStyle w:val="Compact"/>
      </w:pPr>
      <w:r>
        <w:t xml:space="preserve">☒ Exemples pertinents pour le contexte africain</w:t>
      </w:r>
    </w:p>
    <w:bookmarkEnd w:id="33"/>
    <w:bookmarkStart w:id="34" w:name="chapitre-5-lart-du-prompting-efficace"/>
    <w:p>
      <w:pPr>
        <w:pStyle w:val="Heading3"/>
      </w:pPr>
      <w:r>
        <w:t xml:space="preserve">Chapitre 5: L’Art du Prompting Efficace</w:t>
      </w:r>
    </w:p>
    <w:p>
      <w:pPr>
        <w:numPr>
          <w:ilvl w:val="0"/>
          <w:numId w:val="1012"/>
        </w:numPr>
        <w:pStyle w:val="Compact"/>
      </w:pPr>
      <w:r>
        <w:t xml:space="preserve">☒ Intégration de prompt_engineering_tips.png</w:t>
      </w:r>
    </w:p>
    <w:p>
      <w:pPr>
        <w:numPr>
          <w:ilvl w:val="0"/>
          <w:numId w:val="1012"/>
        </w:numPr>
        <w:pStyle w:val="Compact"/>
      </w:pPr>
      <w:r>
        <w:t xml:space="preserve">☒ Intégration de chain_of_thought_prompting.jpg</w:t>
      </w:r>
    </w:p>
    <w:p>
      <w:pPr>
        <w:numPr>
          <w:ilvl w:val="0"/>
          <w:numId w:val="1012"/>
        </w:numPr>
        <w:pStyle w:val="Compact"/>
      </w:pPr>
      <w:r>
        <w:t xml:space="preserve">☒ Intégration de techniques_prompting.png</w:t>
      </w:r>
    </w:p>
    <w:p>
      <w:pPr>
        <w:numPr>
          <w:ilvl w:val="0"/>
          <w:numId w:val="1012"/>
        </w:numPr>
        <w:pStyle w:val="Compact"/>
      </w:pPr>
      <w:r>
        <w:t xml:space="preserve">☒ Exemples de prompts adaptés aux cas d’usage togolais</w:t>
      </w:r>
    </w:p>
    <w:bookmarkEnd w:id="34"/>
    <w:bookmarkStart w:id="35" w:name="X965033df08120690ae983bf3d3b2e1165c3880e"/>
    <w:p>
      <w:pPr>
        <w:pStyle w:val="Heading3"/>
      </w:pPr>
      <w:r>
        <w:t xml:space="preserve">Chapitre 6: Bases de Données Vectorielles et RAG</w:t>
      </w:r>
    </w:p>
    <w:p>
      <w:pPr>
        <w:numPr>
          <w:ilvl w:val="0"/>
          <w:numId w:val="1013"/>
        </w:numPr>
        <w:pStyle w:val="Compact"/>
      </w:pPr>
      <w:r>
        <w:t xml:space="preserve">☒ Intégration de vector_db_vs_graph_db.jpeg</w:t>
      </w:r>
    </w:p>
    <w:p>
      <w:pPr>
        <w:numPr>
          <w:ilvl w:val="0"/>
          <w:numId w:val="1013"/>
        </w:numPr>
        <w:pStyle w:val="Compact"/>
      </w:pPr>
      <w:r>
        <w:t xml:space="preserve">☒ Intégration de rag_workflow.png</w:t>
      </w:r>
    </w:p>
    <w:p>
      <w:pPr>
        <w:numPr>
          <w:ilvl w:val="0"/>
          <w:numId w:val="1013"/>
        </w:numPr>
        <w:pStyle w:val="Compact"/>
      </w:pPr>
      <w:r>
        <w:t xml:space="preserve">☒ Intégration de fonctionnement_db_vectorielle.png</w:t>
      </w:r>
    </w:p>
    <w:p>
      <w:pPr>
        <w:numPr>
          <w:ilvl w:val="0"/>
          <w:numId w:val="1013"/>
        </w:numPr>
        <w:pStyle w:val="Compact"/>
      </w:pPr>
      <w:r>
        <w:t xml:space="preserve">☒ Applications adaptées au contexte local</w:t>
      </w:r>
    </w:p>
    <w:bookmarkEnd w:id="35"/>
    <w:bookmarkStart w:id="36" w:name="Xa0ecd2272de4e5b8c599b9693e0b8c49a508857"/>
    <w:p>
      <w:pPr>
        <w:pStyle w:val="Heading3"/>
      </w:pPr>
      <w:r>
        <w:t xml:space="preserve">Chapitre 7: Évaluation Critique des Résultats</w:t>
      </w:r>
    </w:p>
    <w:p>
      <w:pPr>
        <w:numPr>
          <w:ilvl w:val="0"/>
          <w:numId w:val="1014"/>
        </w:numPr>
        <w:pStyle w:val="Compact"/>
      </w:pPr>
      <w:r>
        <w:t xml:space="preserve">☒ Intégration de detection_fake_news.png</w:t>
      </w:r>
    </w:p>
    <w:p>
      <w:pPr>
        <w:numPr>
          <w:ilvl w:val="0"/>
          <w:numId w:val="1014"/>
        </w:numPr>
        <w:pStyle w:val="Compact"/>
      </w:pPr>
      <w:r>
        <w:t xml:space="preserve">☒ Exemples de désinformation pertinents pour le contexte togolais</w:t>
      </w:r>
    </w:p>
    <w:p>
      <w:pPr>
        <w:numPr>
          <w:ilvl w:val="0"/>
          <w:numId w:val="1014"/>
        </w:numPr>
        <w:pStyle w:val="Compact"/>
      </w:pPr>
      <w:r>
        <w:t xml:space="preserve">☒ Ressources locales pour la vérification des faits</w:t>
      </w:r>
    </w:p>
    <w:bookmarkEnd w:id="36"/>
    <w:bookmarkStart w:id="37" w:name="Xe56d1eadc46601708acf6f0e5c73a91b3fb0638"/>
    <w:p>
      <w:pPr>
        <w:pStyle w:val="Heading3"/>
      </w:pPr>
      <w:r>
        <w:t xml:space="preserve">Chapitre 8: Applications Pratiques pour les ONG</w:t>
      </w:r>
    </w:p>
    <w:p>
      <w:pPr>
        <w:numPr>
          <w:ilvl w:val="0"/>
          <w:numId w:val="1015"/>
        </w:numPr>
        <w:pStyle w:val="Compact"/>
      </w:pPr>
      <w:r>
        <w:t xml:space="preserve">☒ Visualisations des cas d’usage pour les ONG togolaises</w:t>
      </w:r>
    </w:p>
    <w:p>
      <w:pPr>
        <w:numPr>
          <w:ilvl w:val="0"/>
          <w:numId w:val="1015"/>
        </w:numPr>
        <w:pStyle w:val="Compact"/>
      </w:pPr>
      <w:r>
        <w:t xml:space="preserve">☒ Exemples concrets de projets et budgets</w:t>
      </w:r>
    </w:p>
    <w:bookmarkEnd w:id="37"/>
    <w:bookmarkStart w:id="38" w:name="chapitre-9-perspectives-davenir"/>
    <w:p>
      <w:pPr>
        <w:pStyle w:val="Heading3"/>
      </w:pPr>
      <w:r>
        <w:t xml:space="preserve">Chapitre 9: Perspectives d’Avenir</w:t>
      </w:r>
    </w:p>
    <w:p>
      <w:pPr>
        <w:numPr>
          <w:ilvl w:val="0"/>
          <w:numId w:val="1016"/>
        </w:numPr>
        <w:pStyle w:val="Compact"/>
      </w:pPr>
      <w:r>
        <w:t xml:space="preserve">☒ Intégration de ia_afrique_opportunites.jpg</w:t>
      </w:r>
    </w:p>
    <w:p>
      <w:pPr>
        <w:numPr>
          <w:ilvl w:val="0"/>
          <w:numId w:val="1016"/>
        </w:numPr>
        <w:pStyle w:val="Compact"/>
      </w:pPr>
      <w:r>
        <w:t xml:space="preserve">☒ Intégration de impact_ia_togo.png</w:t>
      </w:r>
    </w:p>
    <w:p>
      <w:pPr>
        <w:numPr>
          <w:ilvl w:val="0"/>
          <w:numId w:val="1016"/>
        </w:numPr>
        <w:pStyle w:val="Compact"/>
      </w:pPr>
      <w:r>
        <w:t xml:space="preserve">☒ Vision adaptée au développement futur du Togo</w:t>
      </w:r>
    </w:p>
    <w:bookmarkEnd w:id="38"/>
    <w:bookmarkStart w:id="39" w:name="chapitre-10-conclusion-et-ressources"/>
    <w:p>
      <w:pPr>
        <w:pStyle w:val="Heading3"/>
      </w:pPr>
      <w:r>
        <w:t xml:space="preserve">Chapitre 10: Conclusion et Ressources</w:t>
      </w:r>
    </w:p>
    <w:p>
      <w:pPr>
        <w:numPr>
          <w:ilvl w:val="0"/>
          <w:numId w:val="1017"/>
        </w:numPr>
        <w:pStyle w:val="Compact"/>
      </w:pPr>
      <w:r>
        <w:t xml:space="preserve">☒ Synthèse visuelle des points clés</w:t>
      </w:r>
    </w:p>
    <w:p>
      <w:pPr>
        <w:numPr>
          <w:ilvl w:val="0"/>
          <w:numId w:val="1017"/>
        </w:numPr>
        <w:pStyle w:val="Compact"/>
      </w:pPr>
      <w:r>
        <w:t xml:space="preserve">☒ Ressources accessibles depuis le Togo</w:t>
      </w:r>
    </w:p>
    <w:bookmarkEnd w:id="39"/>
    <w:bookmarkEnd w:id="40"/>
    <w:bookmarkStart w:id="43" w:name="validation-finale"/>
    <w:p>
      <w:pPr>
        <w:pStyle w:val="Heading2"/>
      </w:pPr>
      <w:r>
        <w:t xml:space="preserve">Validation Finale</w:t>
      </w:r>
    </w:p>
    <w:bookmarkStart w:id="41" w:name="cohérence-globale"/>
    <w:p>
      <w:pPr>
        <w:pStyle w:val="Heading3"/>
      </w:pPr>
      <w:r>
        <w:t xml:space="preserve">Cohérence Globale</w:t>
      </w:r>
    </w:p>
    <w:p>
      <w:pPr>
        <w:numPr>
          <w:ilvl w:val="0"/>
          <w:numId w:val="1018"/>
        </w:numPr>
        <w:pStyle w:val="Compact"/>
      </w:pPr>
      <w:r>
        <w:t xml:space="preserve">☒ Style d’écriture uniforme à travers tous les chapitres</w:t>
      </w:r>
    </w:p>
    <w:p>
      <w:pPr>
        <w:numPr>
          <w:ilvl w:val="0"/>
          <w:numId w:val="1018"/>
        </w:numPr>
        <w:pStyle w:val="Compact"/>
      </w:pPr>
      <w:r>
        <w:t xml:space="preserve">☒ Terminologie cohérente pour les concepts techniques</w:t>
      </w:r>
    </w:p>
    <w:p>
      <w:pPr>
        <w:numPr>
          <w:ilvl w:val="0"/>
          <w:numId w:val="1018"/>
        </w:numPr>
        <w:pStyle w:val="Compact"/>
      </w:pPr>
      <w:r>
        <w:t xml:space="preserve">☒ Niveau de détail équilibré entre les chapitres</w:t>
      </w:r>
    </w:p>
    <w:p>
      <w:pPr>
        <w:numPr>
          <w:ilvl w:val="0"/>
          <w:numId w:val="1018"/>
        </w:numPr>
        <w:pStyle w:val="Compact"/>
      </w:pPr>
      <w:r>
        <w:t xml:space="preserve">☒ Références croisées appropriées entre les chapitres connexes</w:t>
      </w:r>
    </w:p>
    <w:bookmarkEnd w:id="41"/>
    <w:bookmarkStart w:id="42" w:name="préparation-pour-les-diapositives"/>
    <w:p>
      <w:pPr>
        <w:pStyle w:val="Heading3"/>
      </w:pPr>
      <w:r>
        <w:t xml:space="preserve">Préparation pour les Diapositives</w:t>
      </w:r>
    </w:p>
    <w:p>
      <w:pPr>
        <w:numPr>
          <w:ilvl w:val="0"/>
          <w:numId w:val="1019"/>
        </w:numPr>
        <w:pStyle w:val="Compact"/>
      </w:pPr>
      <w:r>
        <w:t xml:space="preserve">☒ Identification des points clés à inclure dans les diapositives</w:t>
      </w:r>
    </w:p>
    <w:p>
      <w:pPr>
        <w:numPr>
          <w:ilvl w:val="0"/>
          <w:numId w:val="1019"/>
        </w:numPr>
        <w:pStyle w:val="Compact"/>
      </w:pPr>
      <w:r>
        <w:t xml:space="preserve">☒ Sélection des visuels les plus pertinents pour les diapositives</w:t>
      </w:r>
    </w:p>
    <w:p>
      <w:pPr>
        <w:numPr>
          <w:ilvl w:val="0"/>
          <w:numId w:val="1019"/>
        </w:numPr>
        <w:pStyle w:val="Compact"/>
      </w:pPr>
      <w:r>
        <w:t xml:space="preserve">☒ Notes sur les transitions importantes entre les sections</w:t>
      </w:r>
    </w:p>
    <w:p>
      <w:pPr>
        <w:numPr>
          <w:ilvl w:val="0"/>
          <w:numId w:val="1019"/>
        </w:numPr>
        <w:pStyle w:val="Compact"/>
      </w:pPr>
      <w:r>
        <w:t xml:space="preserve">☒ Identification des exemples à mettre en avant dans la présentation</w:t>
      </w:r>
    </w:p>
    <w:bookmarkEnd w:id="42"/>
    <w:bookmarkEnd w:id="43"/>
    <w:bookmarkStart w:id="44" w:name="conclusion"/>
    <w:p>
      <w:pPr>
        <w:pStyle w:val="Heading2"/>
      </w:pPr>
      <w:r>
        <w:t xml:space="preserve">Conclusion</w:t>
      </w:r>
    </w:p>
    <w:p>
      <w:pPr>
        <w:pStyle w:val="FirstParagraph"/>
      </w:pPr>
      <w:r>
        <w:t xml:space="preserve">La documentation a été validée et est prête pour la phase de création des diapositives. Tous les éléments visuels sont correctement intégrés, le contenu est adapté au contexte togolais, et la structure pédagogique est optimisée pour un séminaire d’une semaine.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2025-07-18T16:11:52Z</dcterms:created>
  <dcterms:modified xsi:type="dcterms:W3CDTF">2025-07-18T16:11:52Z</dcterms:modified>
</cp:coreProperties>
</file>

<file path=docProps/custom.xml><?xml version="1.0" encoding="utf-8"?>
<Properties xmlns="http://schemas.openxmlformats.org/officeDocument/2006/custom-properties" xmlns:vt="http://schemas.openxmlformats.org/officeDocument/2006/docPropsVTypes"/>
</file>