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5dc49b26ba67370ac177e67696b0f1f297d979b"/>
    <w:p>
      <w:pPr>
        <w:pStyle w:val="Heading1"/>
      </w:pPr>
      <w:r>
        <w:t xml:space="preserve">Plan d’Enrichissement Visuel pour le Séminaire IA au Togo</w:t>
      </w:r>
    </w:p>
    <w:bookmarkStart w:id="20" w:name="objectif"/>
    <w:p>
      <w:pPr>
        <w:pStyle w:val="Heading2"/>
      </w:pPr>
      <w:r>
        <w:t xml:space="preserve">Objectif</w:t>
      </w:r>
    </w:p>
    <w:p>
      <w:pPr>
        <w:pStyle w:val="FirstParagraph"/>
      </w:pPr>
      <w:r>
        <w:t xml:space="preserve">Enrichir systématiquement tous les chapitres de la documentation avec des éléments visuels pédagogiques pour améliorer la compréhension et l’engagement des participants.</w:t>
      </w:r>
    </w:p>
    <w:bookmarkEnd w:id="20"/>
    <w:bookmarkStart w:id="21" w:name="images-déjà-collectées"/>
    <w:p>
      <w:pPr>
        <w:pStyle w:val="Heading2"/>
      </w:pPr>
      <w:r>
        <w:t xml:space="preserve">Images déjà collectées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Infographies générales sur l’IA</w:t>
      </w:r>
    </w:p>
    <w:p>
      <w:pPr>
        <w:numPr>
          <w:ilvl w:val="1"/>
          <w:numId w:val="1002"/>
        </w:numPr>
        <w:pStyle w:val="Compact"/>
      </w:pPr>
      <w:r>
        <w:t xml:space="preserve">infographie_ia_perception.jpg</w:t>
      </w:r>
    </w:p>
    <w:p>
      <w:pPr>
        <w:numPr>
          <w:ilvl w:val="1"/>
          <w:numId w:val="1002"/>
        </w:numPr>
        <w:pStyle w:val="Compact"/>
      </w:pPr>
      <w:r>
        <w:t xml:space="preserve">infographie_ia_environnement.png</w:t>
      </w:r>
    </w:p>
    <w:p>
      <w:pPr>
        <w:numPr>
          <w:ilvl w:val="1"/>
          <w:numId w:val="1002"/>
        </w:numPr>
        <w:pStyle w:val="Compact"/>
      </w:pPr>
      <w:r>
        <w:t xml:space="preserve">schema_fonctionnement_ia.png</w:t>
      </w:r>
    </w:p>
    <w:p>
      <w:pPr>
        <w:numPr>
          <w:ilvl w:val="1"/>
          <w:numId w:val="1002"/>
        </w:numPr>
        <w:pStyle w:val="Compact"/>
      </w:pPr>
      <w:r>
        <w:t xml:space="preserve">types_approches_ia.png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LLMs et comparaisons</w:t>
      </w:r>
    </w:p>
    <w:p>
      <w:pPr>
        <w:numPr>
          <w:ilvl w:val="1"/>
          <w:numId w:val="1003"/>
        </w:numPr>
        <w:pStyle w:val="Compact"/>
      </w:pPr>
      <w:r>
        <w:t xml:space="preserve">comparaison_llms.png</w:t>
      </w:r>
    </w:p>
    <w:p>
      <w:pPr>
        <w:numPr>
          <w:ilvl w:val="1"/>
          <w:numId w:val="1003"/>
        </w:numPr>
        <w:pStyle w:val="Compact"/>
      </w:pPr>
      <w:r>
        <w:t xml:space="preserve">rise_of_llms.png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Prompting et techniques</w:t>
      </w:r>
    </w:p>
    <w:p>
      <w:pPr>
        <w:numPr>
          <w:ilvl w:val="1"/>
          <w:numId w:val="1004"/>
        </w:numPr>
        <w:pStyle w:val="Compact"/>
      </w:pPr>
      <w:r>
        <w:t xml:space="preserve">prompt_engineering_tips.png</w:t>
      </w:r>
    </w:p>
    <w:p>
      <w:pPr>
        <w:numPr>
          <w:ilvl w:val="1"/>
          <w:numId w:val="1004"/>
        </w:numPr>
        <w:pStyle w:val="Compact"/>
      </w:pPr>
      <w:r>
        <w:t xml:space="preserve">chain_of_thought_prompting.jpg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RAG et bases de données vectorielles</w:t>
      </w:r>
    </w:p>
    <w:p>
      <w:pPr>
        <w:numPr>
          <w:ilvl w:val="1"/>
          <w:numId w:val="1005"/>
        </w:numPr>
        <w:pStyle w:val="Compact"/>
      </w:pPr>
      <w:r>
        <w:t xml:space="preserve">vector_db_vs_graph_db.jpeg</w:t>
      </w:r>
    </w:p>
    <w:p>
      <w:pPr>
        <w:numPr>
          <w:ilvl w:val="1"/>
          <w:numId w:val="1005"/>
        </w:numPr>
        <w:pStyle w:val="Compact"/>
      </w:pPr>
      <w:r>
        <w:t xml:space="preserve">rag_workflow.png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Contexte togolais et africain</w:t>
      </w:r>
    </w:p>
    <w:p>
      <w:pPr>
        <w:numPr>
          <w:ilvl w:val="1"/>
          <w:numId w:val="1006"/>
        </w:numPr>
        <w:pStyle w:val="Compact"/>
      </w:pPr>
      <w:r>
        <w:t xml:space="preserve">semaine_ia_togo.jpeg</w:t>
      </w:r>
    </w:p>
    <w:p>
      <w:pPr>
        <w:numPr>
          <w:ilvl w:val="1"/>
          <w:numId w:val="1006"/>
        </w:numPr>
        <w:pStyle w:val="Compact"/>
      </w:pPr>
      <w:r>
        <w:t xml:space="preserve">ia_afrique_opportunites.jpg</w:t>
      </w:r>
    </w:p>
    <w:bookmarkEnd w:id="21"/>
    <w:bookmarkStart w:id="32" w:name="plan-dintégration-par-chapitre"/>
    <w:p>
      <w:pPr>
        <w:pStyle w:val="Heading2"/>
      </w:pPr>
      <w:r>
        <w:t xml:space="preserve">Plan d’intégration par chapitre</w:t>
      </w:r>
    </w:p>
    <w:bookmarkStart w:id="22" w:name="X5ecbac5f572177bf3f8bf15f9c53bbea93a40c4"/>
    <w:p>
      <w:pPr>
        <w:pStyle w:val="Heading3"/>
      </w:pPr>
      <w:r>
        <w:t xml:space="preserve">Chapitre 1: Introduction à l’Intelligence Artificielle</w:t>
      </w:r>
    </w:p>
    <w:p>
      <w:pPr>
        <w:numPr>
          <w:ilvl w:val="0"/>
          <w:numId w:val="1007"/>
        </w:numPr>
        <w:pStyle w:val="Compact"/>
      </w:pPr>
      <w:r>
        <w:t xml:space="preserve">Ajouter schema_fonctionnement_ia.png pour illustrer les concepts fondamentaux</w:t>
      </w:r>
    </w:p>
    <w:p>
      <w:pPr>
        <w:numPr>
          <w:ilvl w:val="0"/>
          <w:numId w:val="1007"/>
        </w:numPr>
        <w:pStyle w:val="Compact"/>
      </w:pPr>
      <w:r>
        <w:t xml:space="preserve">Intégrer infographie_ia_perception.jpg pour montrer la perception publique de l’IA</w:t>
      </w:r>
    </w:p>
    <w:p>
      <w:pPr>
        <w:numPr>
          <w:ilvl w:val="0"/>
          <w:numId w:val="1007"/>
        </w:numPr>
        <w:pStyle w:val="Compact"/>
      </w:pPr>
      <w:r>
        <w:t xml:space="preserve">Inclure semaine_ia_togo.jpeg pour contextualiser au Togo</w:t>
      </w:r>
    </w:p>
    <w:bookmarkEnd w:id="22"/>
    <w:bookmarkStart w:id="23" w:name="X570f43fa59d2d0a0cbb7057137973098e605873"/>
    <w:p>
      <w:pPr>
        <w:pStyle w:val="Heading3"/>
      </w:pPr>
      <w:r>
        <w:t xml:space="preserve">Chapitre 2: Les Différents LLMs et leurs Caractéristiques</w:t>
      </w:r>
    </w:p>
    <w:p>
      <w:pPr>
        <w:numPr>
          <w:ilvl w:val="0"/>
          <w:numId w:val="1008"/>
        </w:numPr>
        <w:pStyle w:val="Compact"/>
      </w:pPr>
      <w:r>
        <w:t xml:space="preserve">Intégrer comparaison_llms.png comme tableau comparatif central</w:t>
      </w:r>
    </w:p>
    <w:p>
      <w:pPr>
        <w:numPr>
          <w:ilvl w:val="0"/>
          <w:numId w:val="1008"/>
        </w:numPr>
        <w:pStyle w:val="Compact"/>
      </w:pPr>
      <w:r>
        <w:t xml:space="preserve">Ajouter rise_of_llms.png pour montrer l’évolution historique</w:t>
      </w:r>
    </w:p>
    <w:bookmarkEnd w:id="23"/>
    <w:bookmarkStart w:id="24" w:name="X360c7fdb5123acf7a22cc778634d4bc428bbeb8"/>
    <w:p>
      <w:pPr>
        <w:pStyle w:val="Heading3"/>
      </w:pPr>
      <w:r>
        <w:t xml:space="preserve">Chapitre 3: Catégories de Modèles selon la Modalité</w:t>
      </w:r>
    </w:p>
    <w:p>
      <w:pPr>
        <w:numPr>
          <w:ilvl w:val="0"/>
          <w:numId w:val="1009"/>
        </w:numPr>
        <w:pStyle w:val="Compact"/>
      </w:pPr>
      <w:r>
        <w:t xml:space="preserve">Créer un diagramme personnalisé montrant les différentes modalités</w:t>
      </w:r>
    </w:p>
    <w:p>
      <w:pPr>
        <w:numPr>
          <w:ilvl w:val="0"/>
          <w:numId w:val="1009"/>
        </w:numPr>
        <w:pStyle w:val="Compact"/>
      </w:pPr>
      <w:r>
        <w:t xml:space="preserve">Ajouter des exemples visuels pour chaque type de modalité</w:t>
      </w:r>
    </w:p>
    <w:bookmarkEnd w:id="24"/>
    <w:bookmarkStart w:id="25" w:name="chapitre-4-avatars-voix-et-ia-générative"/>
    <w:p>
      <w:pPr>
        <w:pStyle w:val="Heading3"/>
      </w:pPr>
      <w:r>
        <w:t xml:space="preserve">Chapitre 4: Avatars, Voix et IA Générative</w:t>
      </w:r>
    </w:p>
    <w:p>
      <w:pPr>
        <w:numPr>
          <w:ilvl w:val="0"/>
          <w:numId w:val="1010"/>
        </w:numPr>
        <w:pStyle w:val="Compact"/>
      </w:pPr>
      <w:r>
        <w:t xml:space="preserve">Rechercher et ajouter des exemples d’avatars IA</w:t>
      </w:r>
    </w:p>
    <w:p>
      <w:pPr>
        <w:numPr>
          <w:ilvl w:val="0"/>
          <w:numId w:val="1010"/>
        </w:numPr>
        <w:pStyle w:val="Compact"/>
      </w:pPr>
      <w:r>
        <w:t xml:space="preserve">Inclure des visualisations de synthèse vocale</w:t>
      </w:r>
    </w:p>
    <w:bookmarkEnd w:id="25"/>
    <w:bookmarkStart w:id="26" w:name="chapitre-5-lart-du-prompting-efficace"/>
    <w:p>
      <w:pPr>
        <w:pStyle w:val="Heading3"/>
      </w:pPr>
      <w:r>
        <w:t xml:space="preserve">Chapitre 5: L’Art du Prompting Efficace</w:t>
      </w:r>
    </w:p>
    <w:p>
      <w:pPr>
        <w:numPr>
          <w:ilvl w:val="0"/>
          <w:numId w:val="1011"/>
        </w:numPr>
        <w:pStyle w:val="Compact"/>
      </w:pPr>
      <w:r>
        <w:t xml:space="preserve">Intégrer prompt_engineering_tips.png comme guide visuel</w:t>
      </w:r>
    </w:p>
    <w:p>
      <w:pPr>
        <w:numPr>
          <w:ilvl w:val="0"/>
          <w:numId w:val="1011"/>
        </w:numPr>
        <w:pStyle w:val="Compact"/>
      </w:pPr>
      <w:r>
        <w:t xml:space="preserve">Ajouter chain_of_thought_prompting.jpg pour illustrer cette technique avancée</w:t>
      </w:r>
    </w:p>
    <w:bookmarkEnd w:id="26"/>
    <w:bookmarkStart w:id="27" w:name="X965033df08120690ae983bf3d3b2e1165c3880e"/>
    <w:p>
      <w:pPr>
        <w:pStyle w:val="Heading3"/>
      </w:pPr>
      <w:r>
        <w:t xml:space="preserve">Chapitre 6: Bases de Données Vectorielles et RAG</w:t>
      </w:r>
    </w:p>
    <w:p>
      <w:pPr>
        <w:numPr>
          <w:ilvl w:val="0"/>
          <w:numId w:val="1012"/>
        </w:numPr>
        <w:pStyle w:val="Compact"/>
      </w:pPr>
      <w:r>
        <w:t xml:space="preserve">Utiliser vector_db_vs_graph_db.jpeg pour expliquer les différences</w:t>
      </w:r>
    </w:p>
    <w:p>
      <w:pPr>
        <w:numPr>
          <w:ilvl w:val="0"/>
          <w:numId w:val="1012"/>
        </w:numPr>
        <w:pStyle w:val="Compact"/>
      </w:pPr>
      <w:r>
        <w:t xml:space="preserve">Intégrer rag_workflow.png pour illustrer le processus RAG</w:t>
      </w:r>
    </w:p>
    <w:bookmarkEnd w:id="27"/>
    <w:bookmarkStart w:id="28" w:name="Xa0ecd2272de4e5b8c599b9693e0b8c49a508857"/>
    <w:p>
      <w:pPr>
        <w:pStyle w:val="Heading3"/>
      </w:pPr>
      <w:r>
        <w:t xml:space="preserve">Chapitre 7: Évaluation Critique des Résultats</w:t>
      </w:r>
    </w:p>
    <w:p>
      <w:pPr>
        <w:numPr>
          <w:ilvl w:val="0"/>
          <w:numId w:val="1013"/>
        </w:numPr>
        <w:pStyle w:val="Compact"/>
      </w:pPr>
      <w:r>
        <w:t xml:space="preserve">Créer un diagramme sur la détection des fake news</w:t>
      </w:r>
    </w:p>
    <w:p>
      <w:pPr>
        <w:numPr>
          <w:ilvl w:val="0"/>
          <w:numId w:val="1013"/>
        </w:numPr>
        <w:pStyle w:val="Compact"/>
      </w:pPr>
      <w:r>
        <w:t xml:space="preserve">Ajouter une infographie sur les biais algorithmiques</w:t>
      </w:r>
    </w:p>
    <w:bookmarkEnd w:id="28"/>
    <w:bookmarkStart w:id="29" w:name="Xe56d1eadc46601708acf6f0e5c73a91b3fb0638"/>
    <w:p>
      <w:pPr>
        <w:pStyle w:val="Heading3"/>
      </w:pPr>
      <w:r>
        <w:t xml:space="preserve">Chapitre 8: Applications Pratiques pour les ONG</w:t>
      </w:r>
    </w:p>
    <w:p>
      <w:pPr>
        <w:numPr>
          <w:ilvl w:val="0"/>
          <w:numId w:val="1014"/>
        </w:numPr>
        <w:pStyle w:val="Compact"/>
      </w:pPr>
      <w:r>
        <w:t xml:space="preserve">Créer des visualisations de cas d’usage pour les ONG togolaises</w:t>
      </w:r>
    </w:p>
    <w:p>
      <w:pPr>
        <w:numPr>
          <w:ilvl w:val="0"/>
          <w:numId w:val="1014"/>
        </w:numPr>
        <w:pStyle w:val="Compact"/>
      </w:pPr>
      <w:r>
        <w:t xml:space="preserve">Ajouter des exemples de budgets et planifications assistés par IA</w:t>
      </w:r>
    </w:p>
    <w:bookmarkEnd w:id="29"/>
    <w:bookmarkStart w:id="30" w:name="chapitre-9-perspectives-davenir"/>
    <w:p>
      <w:pPr>
        <w:pStyle w:val="Heading3"/>
      </w:pPr>
      <w:r>
        <w:t xml:space="preserve">Chapitre 9: Perspectives d’Avenir</w:t>
      </w:r>
    </w:p>
    <w:p>
      <w:pPr>
        <w:numPr>
          <w:ilvl w:val="0"/>
          <w:numId w:val="1015"/>
        </w:numPr>
        <w:pStyle w:val="Compact"/>
      </w:pPr>
      <w:r>
        <w:t xml:space="preserve">Intégrer ia_afrique_opportunites.jpg</w:t>
      </w:r>
    </w:p>
    <w:p>
      <w:pPr>
        <w:numPr>
          <w:ilvl w:val="0"/>
          <w:numId w:val="1015"/>
        </w:numPr>
        <w:pStyle w:val="Compact"/>
      </w:pPr>
      <w:r>
        <w:t xml:space="preserve">Créer une timeline des développements futurs de l’IA au Togo</w:t>
      </w:r>
    </w:p>
    <w:bookmarkEnd w:id="30"/>
    <w:bookmarkStart w:id="31" w:name="chapitre-10-conclusion-et-ressources"/>
    <w:p>
      <w:pPr>
        <w:pStyle w:val="Heading3"/>
      </w:pPr>
      <w:r>
        <w:t xml:space="preserve">Chapitre 10: Conclusion et Ressources</w:t>
      </w:r>
    </w:p>
    <w:p>
      <w:pPr>
        <w:numPr>
          <w:ilvl w:val="0"/>
          <w:numId w:val="1016"/>
        </w:numPr>
        <w:pStyle w:val="Compact"/>
      </w:pPr>
      <w:r>
        <w:t xml:space="preserve">Créer une infographie récapitulative des points clés</w:t>
      </w:r>
    </w:p>
    <w:p>
      <w:pPr>
        <w:numPr>
          <w:ilvl w:val="0"/>
          <w:numId w:val="1016"/>
        </w:numPr>
        <w:pStyle w:val="Compact"/>
      </w:pPr>
      <w:r>
        <w:t xml:space="preserve">Visualiser les interconnexions entre les différents chapitres</w:t>
      </w:r>
    </w:p>
    <w:bookmarkEnd w:id="31"/>
    <w:bookmarkEnd w:id="32"/>
    <w:bookmarkStart w:id="33" w:name="éléments-visuels-supplémentaires-à-créer"/>
    <w:p>
      <w:pPr>
        <w:pStyle w:val="Heading2"/>
      </w:pPr>
      <w:r>
        <w:t xml:space="preserve">Éléments visuels supplémentaires à créer</w:t>
      </w:r>
    </w:p>
    <w:p>
      <w:pPr>
        <w:numPr>
          <w:ilvl w:val="0"/>
          <w:numId w:val="1017"/>
        </w:numPr>
        <w:pStyle w:val="Compact"/>
      </w:pPr>
      <w:r>
        <w:t xml:space="preserve">Diagrammes de flux pour les processus d’IA</w:t>
      </w:r>
    </w:p>
    <w:p>
      <w:pPr>
        <w:numPr>
          <w:ilvl w:val="0"/>
          <w:numId w:val="1017"/>
        </w:numPr>
        <w:pStyle w:val="Compact"/>
      </w:pPr>
      <w:r>
        <w:t xml:space="preserve">Graphiques comparatifs adaptés au contexte togolais</w:t>
      </w:r>
    </w:p>
    <w:p>
      <w:pPr>
        <w:numPr>
          <w:ilvl w:val="0"/>
          <w:numId w:val="1017"/>
        </w:numPr>
        <w:pStyle w:val="Compact"/>
      </w:pPr>
      <w:r>
        <w:t xml:space="preserve">Illustrations des applications sectorielles (agriculture, santé, éducation)</w:t>
      </w:r>
    </w:p>
    <w:p>
      <w:pPr>
        <w:numPr>
          <w:ilvl w:val="0"/>
          <w:numId w:val="1017"/>
        </w:numPr>
        <w:pStyle w:val="Compact"/>
      </w:pPr>
      <w:r>
        <w:t xml:space="preserve">Visualisations des défis et opportunités spécifiques à l’Afrique de l’Ouest</w:t>
      </w:r>
    </w:p>
    <w:bookmarkEnd w:id="33"/>
    <w:bookmarkStart w:id="34" w:name="considérations-importantes"/>
    <w:p>
      <w:pPr>
        <w:pStyle w:val="Heading2"/>
      </w:pPr>
      <w:r>
        <w:t xml:space="preserve">Considérations importantes</w:t>
      </w:r>
    </w:p>
    <w:p>
      <w:pPr>
        <w:numPr>
          <w:ilvl w:val="0"/>
          <w:numId w:val="1018"/>
        </w:numPr>
        <w:pStyle w:val="Compact"/>
      </w:pPr>
      <w:r>
        <w:t xml:space="preserve">Assurer la cohérence visuelle entre tous les chapitres</w:t>
      </w:r>
    </w:p>
    <w:p>
      <w:pPr>
        <w:numPr>
          <w:ilvl w:val="0"/>
          <w:numId w:val="1018"/>
        </w:numPr>
        <w:pStyle w:val="Compact"/>
      </w:pPr>
      <w:r>
        <w:t xml:space="preserve">Adapter les exemples au contexte togolais quand c’est possible</w:t>
      </w:r>
    </w:p>
    <w:p>
      <w:pPr>
        <w:numPr>
          <w:ilvl w:val="0"/>
          <w:numId w:val="1018"/>
        </w:numPr>
        <w:pStyle w:val="Compact"/>
      </w:pPr>
      <w:r>
        <w:t xml:space="preserve">Inclure les citations et attributions pour toutes les images</w:t>
      </w:r>
    </w:p>
    <w:p>
      <w:pPr>
        <w:numPr>
          <w:ilvl w:val="0"/>
          <w:numId w:val="1018"/>
        </w:numPr>
        <w:pStyle w:val="Compact"/>
      </w:pPr>
      <w:r>
        <w:t xml:space="preserve">Vérifier que les visuels sont pédagogiquement pertinents et pas seulement décoratifs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2025-07-18T16:11:52Z</dcterms:created>
  <dcterms:modified xsi:type="dcterms:W3CDTF">2025-07-18T16:11:52Z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