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AD" w:rsidRPr="00230FAD" w:rsidRDefault="00A10C54" w:rsidP="00230FAD">
      <w:pPr>
        <w:pStyle w:val="Heading1"/>
      </w:pPr>
      <w:r w:rsidRPr="00A10C54">
        <w:t>SolidEdgeTranslationServices</w:t>
      </w:r>
      <w:r>
        <w:t>.exe Command Line Switches</w:t>
      </w:r>
    </w:p>
    <w:p w:rsidR="00230FAD" w:rsidRPr="00230FAD" w:rsidRDefault="00230FAD" w:rsidP="00230FAD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E97A3C" w:rsidRDefault="00A10C54" w:rsidP="00A10C54">
      <w:pPr>
        <w:spacing w:after="60" w:line="240" w:lineRule="auto"/>
        <w:rPr>
          <w:rFonts w:ascii="Arial" w:hAnsi="Arial" w:cs="Arial"/>
          <w:sz w:val="20"/>
          <w:szCs w:val="20"/>
        </w:rPr>
      </w:pPr>
      <w:r w:rsidRPr="00A10C54">
        <w:rPr>
          <w:rFonts w:ascii="Arial" w:hAnsi="Arial" w:cs="Arial"/>
          <w:sz w:val="20"/>
          <w:szCs w:val="20"/>
        </w:rPr>
        <w:t>SolidEdgeTranslationServices.exe is an internal utility for use with Teamcenter</w:t>
      </w:r>
      <w:r>
        <w:rPr>
          <w:rFonts w:ascii="Arial" w:hAnsi="Arial" w:cs="Arial"/>
          <w:sz w:val="20"/>
          <w:szCs w:val="20"/>
        </w:rPr>
        <w:t xml:space="preserve"> </w:t>
      </w:r>
      <w:r w:rsidRPr="00A10C54">
        <w:rPr>
          <w:rFonts w:ascii="Arial" w:hAnsi="Arial" w:cs="Arial"/>
          <w:sz w:val="20"/>
          <w:szCs w:val="20"/>
        </w:rPr>
        <w:t>translation Services. As such, there is no formal documentation available for</w:t>
      </w:r>
      <w:r>
        <w:rPr>
          <w:rFonts w:ascii="Arial" w:hAnsi="Arial" w:cs="Arial"/>
          <w:sz w:val="20"/>
          <w:szCs w:val="20"/>
        </w:rPr>
        <w:t xml:space="preserve"> this internal utility.  However, the utility can be used outside of Teamcenter directly from the command line to automate automatic translation of Solid Edge files:</w:t>
      </w:r>
    </w:p>
    <w:p w:rsidR="00CF7562" w:rsidRDefault="00CF7562" w:rsidP="00A10C54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CF7562" w:rsidRDefault="00CF7562" w:rsidP="003150EC">
      <w:pPr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D834813" wp14:editId="5FE46E15">
            <wp:extent cx="5943600" cy="1575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C54" w:rsidRDefault="00A10C54" w:rsidP="00A10C54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CF7562" w:rsidRDefault="00CF7562" w:rsidP="00A10C54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CF7562" w:rsidRPr="00E97A3C" w:rsidRDefault="00CF7562" w:rsidP="00A10C54">
      <w:p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are the command line switches available for SolidEdgeTranslationServices.exe:</w:t>
      </w:r>
    </w:p>
    <w:p w:rsidR="00E97A3C" w:rsidRDefault="00E97A3C" w:rsidP="00E97A3C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CF7562" w:rsidRPr="003150EC" w:rsidRDefault="00CF7562" w:rsidP="003150EC">
      <w:pPr>
        <w:spacing w:after="60" w:line="240" w:lineRule="auto"/>
        <w:ind w:left="720"/>
        <w:rPr>
          <w:rFonts w:ascii="Arial" w:hAnsi="Arial" w:cs="Arial"/>
          <w:sz w:val="20"/>
          <w:szCs w:val="20"/>
        </w:rPr>
      </w:pPr>
      <w:r w:rsidRPr="003150EC">
        <w:rPr>
          <w:rFonts w:ascii="Arial" w:hAnsi="Arial" w:cs="Arial"/>
          <w:sz w:val="20"/>
          <w:szCs w:val="20"/>
        </w:rPr>
        <w:t>–</w:t>
      </w:r>
      <w:proofErr w:type="spellStart"/>
      <w:r w:rsidRPr="003150EC">
        <w:rPr>
          <w:rFonts w:ascii="Arial" w:hAnsi="Arial" w:cs="Arial"/>
          <w:sz w:val="20"/>
          <w:szCs w:val="20"/>
        </w:rPr>
        <w:t>i</w:t>
      </w:r>
      <w:proofErr w:type="spellEnd"/>
      <w:r w:rsidRPr="003150EC">
        <w:rPr>
          <w:rFonts w:ascii="Arial" w:hAnsi="Arial" w:cs="Arial"/>
          <w:sz w:val="20"/>
          <w:szCs w:val="20"/>
        </w:rPr>
        <w:t xml:space="preserve"> = input file</w:t>
      </w:r>
    </w:p>
    <w:p w:rsidR="00CF7562" w:rsidRPr="003150EC" w:rsidRDefault="003150EC" w:rsidP="003150EC">
      <w:pPr>
        <w:spacing w:after="60" w:line="240" w:lineRule="auto"/>
        <w:ind w:left="720"/>
        <w:rPr>
          <w:rFonts w:ascii="Arial" w:hAnsi="Arial" w:cs="Arial"/>
          <w:sz w:val="20"/>
          <w:szCs w:val="20"/>
        </w:rPr>
      </w:pPr>
      <w:r w:rsidRPr="003150EC">
        <w:rPr>
          <w:rFonts w:ascii="Arial" w:hAnsi="Arial" w:cs="Arial"/>
          <w:sz w:val="20"/>
          <w:szCs w:val="20"/>
        </w:rPr>
        <w:t>–o</w:t>
      </w:r>
      <w:r w:rsidR="00CF7562" w:rsidRPr="003150EC">
        <w:rPr>
          <w:rFonts w:ascii="Arial" w:hAnsi="Arial" w:cs="Arial"/>
          <w:sz w:val="20"/>
          <w:szCs w:val="20"/>
        </w:rPr>
        <w:t xml:space="preserve"> = output file</w:t>
      </w:r>
    </w:p>
    <w:p w:rsidR="00CF7562" w:rsidRPr="003150EC" w:rsidRDefault="003150EC" w:rsidP="003150EC">
      <w:pPr>
        <w:spacing w:after="6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–t = what format to convert to </w:t>
      </w:r>
      <w:r w:rsidR="00CF7562" w:rsidRPr="003150EC">
        <w:rPr>
          <w:rFonts w:ascii="Arial" w:hAnsi="Arial" w:cs="Arial"/>
          <w:sz w:val="20"/>
          <w:szCs w:val="20"/>
        </w:rPr>
        <w:t xml:space="preserve">(i.e. </w:t>
      </w:r>
      <w:proofErr w:type="spellStart"/>
      <w:r w:rsidR="00CF7562" w:rsidRPr="003150EC">
        <w:rPr>
          <w:rFonts w:ascii="Arial" w:hAnsi="Arial" w:cs="Arial"/>
          <w:sz w:val="20"/>
          <w:szCs w:val="20"/>
        </w:rPr>
        <w:t>pdf</w:t>
      </w:r>
      <w:proofErr w:type="spellEnd"/>
      <w:r w:rsidR="00CF7562" w:rsidRPr="003150E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F7562" w:rsidRPr="003150EC">
        <w:rPr>
          <w:rFonts w:ascii="Arial" w:hAnsi="Arial" w:cs="Arial"/>
          <w:sz w:val="20"/>
          <w:szCs w:val="20"/>
        </w:rPr>
        <w:t>tif</w:t>
      </w:r>
      <w:proofErr w:type="spellEnd"/>
      <w:r w:rsidR="00CF7562" w:rsidRPr="003150E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F7562" w:rsidRPr="003150EC">
        <w:rPr>
          <w:rFonts w:ascii="Arial" w:hAnsi="Arial" w:cs="Arial"/>
          <w:sz w:val="20"/>
          <w:szCs w:val="20"/>
        </w:rPr>
        <w:t>dwg</w:t>
      </w:r>
      <w:proofErr w:type="spellEnd"/>
      <w:r w:rsidR="00CF7562" w:rsidRPr="003150E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F7562" w:rsidRPr="003150EC">
        <w:rPr>
          <w:rFonts w:ascii="Arial" w:hAnsi="Arial" w:cs="Arial"/>
          <w:sz w:val="20"/>
          <w:szCs w:val="20"/>
        </w:rPr>
        <w:t>jt</w:t>
      </w:r>
      <w:proofErr w:type="spellEnd"/>
      <w:r w:rsidR="00CF7562" w:rsidRPr="003150EC">
        <w:rPr>
          <w:rFonts w:ascii="Arial" w:hAnsi="Arial" w:cs="Arial"/>
          <w:sz w:val="20"/>
          <w:szCs w:val="20"/>
        </w:rPr>
        <w:t xml:space="preserve">, bmp, </w:t>
      </w:r>
      <w:proofErr w:type="spellStart"/>
      <w:r w:rsidR="00CF7562" w:rsidRPr="003150EC">
        <w:rPr>
          <w:rFonts w:ascii="Arial" w:hAnsi="Arial" w:cs="Arial"/>
          <w:sz w:val="20"/>
          <w:szCs w:val="20"/>
        </w:rPr>
        <w:t>igs</w:t>
      </w:r>
      <w:proofErr w:type="spellEnd"/>
      <w:r w:rsidR="00CF7562" w:rsidRPr="003150EC">
        <w:rPr>
          <w:rFonts w:ascii="Arial" w:hAnsi="Arial" w:cs="Arial"/>
          <w:sz w:val="20"/>
          <w:szCs w:val="20"/>
        </w:rPr>
        <w:t>, etc.)</w:t>
      </w:r>
    </w:p>
    <w:p w:rsidR="00CF7562" w:rsidRPr="003150EC" w:rsidRDefault="00CF7562" w:rsidP="003150EC">
      <w:pPr>
        <w:spacing w:after="60" w:line="240" w:lineRule="auto"/>
        <w:ind w:left="720"/>
        <w:rPr>
          <w:rFonts w:ascii="Arial" w:hAnsi="Arial" w:cs="Arial"/>
          <w:sz w:val="20"/>
          <w:szCs w:val="20"/>
        </w:rPr>
      </w:pPr>
      <w:r w:rsidRPr="003150EC">
        <w:rPr>
          <w:rFonts w:ascii="Arial" w:hAnsi="Arial" w:cs="Arial"/>
          <w:sz w:val="20"/>
          <w:szCs w:val="20"/>
        </w:rPr>
        <w:t xml:space="preserve">–w = width  </w:t>
      </w:r>
    </w:p>
    <w:p w:rsidR="00CF7562" w:rsidRPr="003150EC" w:rsidRDefault="00CF7562" w:rsidP="003150EC">
      <w:pPr>
        <w:spacing w:after="60" w:line="240" w:lineRule="auto"/>
        <w:ind w:left="720"/>
        <w:rPr>
          <w:rFonts w:ascii="Arial" w:hAnsi="Arial" w:cs="Arial"/>
          <w:sz w:val="20"/>
          <w:szCs w:val="20"/>
        </w:rPr>
      </w:pPr>
      <w:r w:rsidRPr="003150EC">
        <w:rPr>
          <w:rFonts w:ascii="Arial" w:hAnsi="Arial" w:cs="Arial"/>
          <w:sz w:val="20"/>
          <w:szCs w:val="20"/>
        </w:rPr>
        <w:t>–h = height</w:t>
      </w:r>
    </w:p>
    <w:p w:rsidR="00CF7562" w:rsidRPr="003150EC" w:rsidRDefault="00CF7562" w:rsidP="003150EC">
      <w:pPr>
        <w:spacing w:after="60" w:line="240" w:lineRule="auto"/>
        <w:ind w:left="720"/>
        <w:rPr>
          <w:rFonts w:ascii="Arial" w:hAnsi="Arial" w:cs="Arial"/>
          <w:sz w:val="20"/>
          <w:szCs w:val="20"/>
        </w:rPr>
      </w:pPr>
      <w:r w:rsidRPr="003150EC">
        <w:rPr>
          <w:rFonts w:ascii="Arial" w:hAnsi="Arial" w:cs="Arial"/>
          <w:sz w:val="20"/>
          <w:szCs w:val="20"/>
        </w:rPr>
        <w:t>–r = resolution (100,</w:t>
      </w:r>
      <w:r w:rsidR="003150EC">
        <w:rPr>
          <w:rFonts w:ascii="Arial" w:hAnsi="Arial" w:cs="Arial"/>
          <w:sz w:val="20"/>
          <w:szCs w:val="20"/>
        </w:rPr>
        <w:t xml:space="preserve"> </w:t>
      </w:r>
      <w:r w:rsidRPr="003150EC">
        <w:rPr>
          <w:rFonts w:ascii="Arial" w:hAnsi="Arial" w:cs="Arial"/>
          <w:sz w:val="20"/>
          <w:szCs w:val="20"/>
        </w:rPr>
        <w:t>200,</w:t>
      </w:r>
      <w:r w:rsidR="00201DE2">
        <w:rPr>
          <w:rFonts w:ascii="Arial" w:hAnsi="Arial" w:cs="Arial"/>
          <w:sz w:val="20"/>
          <w:szCs w:val="20"/>
        </w:rPr>
        <w:t xml:space="preserve"> </w:t>
      </w:r>
      <w:r w:rsidRPr="003150EC">
        <w:rPr>
          <w:rFonts w:ascii="Arial" w:hAnsi="Arial" w:cs="Arial"/>
          <w:sz w:val="20"/>
          <w:szCs w:val="20"/>
        </w:rPr>
        <w:t>300,</w:t>
      </w:r>
      <w:r w:rsidR="00201DE2">
        <w:rPr>
          <w:rFonts w:ascii="Arial" w:hAnsi="Arial" w:cs="Arial"/>
          <w:sz w:val="20"/>
          <w:szCs w:val="20"/>
        </w:rPr>
        <w:t xml:space="preserve"> </w:t>
      </w:r>
      <w:r w:rsidRPr="003150EC">
        <w:rPr>
          <w:rFonts w:ascii="Arial" w:hAnsi="Arial" w:cs="Arial"/>
          <w:sz w:val="20"/>
          <w:szCs w:val="20"/>
        </w:rPr>
        <w:t>600,</w:t>
      </w:r>
      <w:r w:rsidR="00201DE2">
        <w:rPr>
          <w:rFonts w:ascii="Arial" w:hAnsi="Arial" w:cs="Arial"/>
          <w:sz w:val="20"/>
          <w:szCs w:val="20"/>
        </w:rPr>
        <w:t xml:space="preserve"> </w:t>
      </w:r>
      <w:r w:rsidRPr="003150EC">
        <w:rPr>
          <w:rFonts w:ascii="Arial" w:hAnsi="Arial" w:cs="Arial"/>
          <w:sz w:val="20"/>
          <w:szCs w:val="20"/>
        </w:rPr>
        <w:t>1200)</w:t>
      </w:r>
    </w:p>
    <w:p w:rsidR="00CF7562" w:rsidRPr="003150EC" w:rsidRDefault="00CF7562" w:rsidP="003150EC">
      <w:pPr>
        <w:spacing w:after="60" w:line="240" w:lineRule="auto"/>
        <w:ind w:left="720"/>
        <w:rPr>
          <w:rFonts w:ascii="Arial" w:hAnsi="Arial" w:cs="Arial"/>
          <w:sz w:val="20"/>
          <w:szCs w:val="20"/>
        </w:rPr>
      </w:pPr>
      <w:r w:rsidRPr="003150EC">
        <w:rPr>
          <w:rFonts w:ascii="Arial" w:hAnsi="Arial" w:cs="Arial"/>
          <w:sz w:val="20"/>
          <w:szCs w:val="20"/>
        </w:rPr>
        <w:t>–c = colour depth (1,</w:t>
      </w:r>
      <w:r w:rsidR="003150EC">
        <w:rPr>
          <w:rFonts w:ascii="Arial" w:hAnsi="Arial" w:cs="Arial"/>
          <w:sz w:val="20"/>
          <w:szCs w:val="20"/>
        </w:rPr>
        <w:t xml:space="preserve"> </w:t>
      </w:r>
      <w:r w:rsidRPr="003150EC">
        <w:rPr>
          <w:rFonts w:ascii="Arial" w:hAnsi="Arial" w:cs="Arial"/>
          <w:sz w:val="20"/>
          <w:szCs w:val="20"/>
        </w:rPr>
        <w:t>8,</w:t>
      </w:r>
      <w:r w:rsidR="003150EC">
        <w:rPr>
          <w:rFonts w:ascii="Arial" w:hAnsi="Arial" w:cs="Arial"/>
          <w:sz w:val="20"/>
          <w:szCs w:val="20"/>
        </w:rPr>
        <w:t xml:space="preserve"> </w:t>
      </w:r>
      <w:r w:rsidRPr="003150EC">
        <w:rPr>
          <w:rFonts w:ascii="Arial" w:hAnsi="Arial" w:cs="Arial"/>
          <w:sz w:val="20"/>
          <w:szCs w:val="20"/>
        </w:rPr>
        <w:t>24 where 1=MONOCHROME, 8=256 COLORS, 24=TRUE COLOR)</w:t>
      </w:r>
    </w:p>
    <w:p w:rsidR="00CF7562" w:rsidRPr="003150EC" w:rsidRDefault="00CF7562" w:rsidP="003150EC">
      <w:pPr>
        <w:spacing w:after="60" w:line="240" w:lineRule="auto"/>
        <w:ind w:left="720"/>
        <w:rPr>
          <w:rFonts w:ascii="Arial" w:hAnsi="Arial" w:cs="Arial"/>
          <w:sz w:val="20"/>
          <w:szCs w:val="20"/>
        </w:rPr>
      </w:pPr>
      <w:r w:rsidRPr="003150EC">
        <w:rPr>
          <w:rFonts w:ascii="Arial" w:hAnsi="Arial" w:cs="Arial"/>
          <w:sz w:val="20"/>
          <w:szCs w:val="20"/>
        </w:rPr>
        <w:t>–v = visibility of Solid Edge (TRUE, FALSE)</w:t>
      </w:r>
    </w:p>
    <w:p w:rsidR="00CF7562" w:rsidRPr="003150EC" w:rsidRDefault="003150EC" w:rsidP="003150EC">
      <w:pPr>
        <w:spacing w:after="6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–q = image quality </w:t>
      </w:r>
      <w:r w:rsidR="00CF7562" w:rsidRPr="003150EC">
        <w:rPr>
          <w:rFonts w:ascii="Arial" w:hAnsi="Arial" w:cs="Arial"/>
          <w:sz w:val="20"/>
          <w:szCs w:val="20"/>
        </w:rPr>
        <w:t>(LOW, MEDIUM, HIGH)</w:t>
      </w:r>
    </w:p>
    <w:p w:rsidR="00CF7562" w:rsidRPr="003150EC" w:rsidRDefault="003150EC" w:rsidP="003150EC">
      <w:pPr>
        <w:spacing w:after="6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–m = multiple sheets </w:t>
      </w:r>
      <w:r w:rsidR="00CF7562" w:rsidRPr="003150EC">
        <w:rPr>
          <w:rFonts w:ascii="Arial" w:hAnsi="Arial" w:cs="Arial"/>
          <w:sz w:val="20"/>
          <w:szCs w:val="20"/>
        </w:rPr>
        <w:t>(TRUE,</w:t>
      </w:r>
      <w:r>
        <w:rPr>
          <w:rFonts w:ascii="Arial" w:hAnsi="Arial" w:cs="Arial"/>
          <w:sz w:val="20"/>
          <w:szCs w:val="20"/>
        </w:rPr>
        <w:t xml:space="preserve"> </w:t>
      </w:r>
      <w:r w:rsidR="00CF7562" w:rsidRPr="003150EC">
        <w:rPr>
          <w:rFonts w:ascii="Arial" w:hAnsi="Arial" w:cs="Arial"/>
          <w:sz w:val="20"/>
          <w:szCs w:val="20"/>
        </w:rPr>
        <w:t>FALSE)</w:t>
      </w:r>
    </w:p>
    <w:p w:rsidR="00CF7562" w:rsidRDefault="00CF7562" w:rsidP="00E97A3C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CF7562" w:rsidRDefault="003150EC" w:rsidP="00E97A3C">
      <w:p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Sample command line for SolidEdgeTranslationServices.exe:</w:t>
      </w:r>
    </w:p>
    <w:p w:rsidR="003150EC" w:rsidRDefault="003150EC" w:rsidP="00E97A3C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3150EC" w:rsidRDefault="003150EC" w:rsidP="00201DE2">
      <w:pPr>
        <w:spacing w:after="60" w:line="240" w:lineRule="auto"/>
        <w:ind w:firstLine="720"/>
        <w:rPr>
          <w:rFonts w:ascii="Arial" w:hAnsi="Arial" w:cs="Arial"/>
          <w:sz w:val="20"/>
          <w:szCs w:val="20"/>
        </w:rPr>
      </w:pPr>
      <w:r w:rsidRPr="003150EC">
        <w:rPr>
          <w:rFonts w:ascii="Arial" w:hAnsi="Arial" w:cs="Arial"/>
          <w:sz w:val="20"/>
          <w:szCs w:val="20"/>
        </w:rPr>
        <w:t>SolidEdgeTranslationServices.exe -</w:t>
      </w:r>
      <w:proofErr w:type="spellStart"/>
      <w:r w:rsidRPr="003150EC">
        <w:rPr>
          <w:rFonts w:ascii="Arial" w:hAnsi="Arial" w:cs="Arial"/>
          <w:sz w:val="20"/>
          <w:szCs w:val="20"/>
        </w:rPr>
        <w:t>i</w:t>
      </w:r>
      <w:proofErr w:type="spellEnd"/>
      <w:r w:rsidRPr="003150EC">
        <w:rPr>
          <w:rFonts w:ascii="Arial" w:hAnsi="Arial" w:cs="Arial"/>
          <w:sz w:val="20"/>
          <w:szCs w:val="20"/>
        </w:rPr>
        <w:t>="C:\</w:t>
      </w:r>
      <w:r w:rsidR="00201DE2" w:rsidRPr="00201DE2">
        <w:rPr>
          <w:rFonts w:ascii="Arial" w:hAnsi="Arial" w:cs="Arial"/>
          <w:sz w:val="20"/>
          <w:szCs w:val="20"/>
        </w:rPr>
        <w:t>Program Files\Solid Edge ST6\Training\stddb3d.dft" -o=C:\Temp\test.pdf -q=high -t=</w:t>
      </w:r>
      <w:proofErr w:type="spellStart"/>
      <w:r w:rsidR="00201DE2" w:rsidRPr="00201DE2">
        <w:rPr>
          <w:rFonts w:ascii="Arial" w:hAnsi="Arial" w:cs="Arial"/>
          <w:sz w:val="20"/>
          <w:szCs w:val="20"/>
        </w:rPr>
        <w:t>pdf</w:t>
      </w:r>
      <w:proofErr w:type="spellEnd"/>
    </w:p>
    <w:p w:rsidR="003150EC" w:rsidRDefault="003150EC" w:rsidP="003150EC">
      <w:pPr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FA748F" wp14:editId="4FFCC965">
            <wp:extent cx="5943600" cy="328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50EC" w:rsidRDefault="003150EC" w:rsidP="00E97A3C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E97A3C" w:rsidRDefault="00E97A3C" w:rsidP="00230FAD">
      <w:pPr>
        <w:spacing w:after="60" w:line="240" w:lineRule="auto"/>
        <w:rPr>
          <w:rFonts w:ascii="Arial" w:hAnsi="Arial" w:cs="Arial"/>
          <w:sz w:val="20"/>
          <w:szCs w:val="20"/>
        </w:rPr>
      </w:pPr>
    </w:p>
    <w:p w:rsidR="00F23F8E" w:rsidRPr="00230FAD" w:rsidRDefault="00F23F8E" w:rsidP="00230FAD">
      <w:p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 C. Merritt</w:t>
      </w:r>
    </w:p>
    <w:sectPr w:rsidR="00F23F8E" w:rsidRPr="00230FAD" w:rsidSect="00E97A3C">
      <w:pgSz w:w="12240" w:h="15840" w:code="1"/>
      <w:pgMar w:top="720" w:right="720" w:bottom="720" w:left="720" w:header="144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80BF3"/>
    <w:multiLevelType w:val="hybridMultilevel"/>
    <w:tmpl w:val="3C08765E"/>
    <w:lvl w:ilvl="0" w:tplc="F758A6AA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6043B"/>
    <w:multiLevelType w:val="hybridMultilevel"/>
    <w:tmpl w:val="FEB02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0124A"/>
    <w:multiLevelType w:val="hybridMultilevel"/>
    <w:tmpl w:val="6716201C"/>
    <w:lvl w:ilvl="0" w:tplc="419E9A4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E487F"/>
    <w:multiLevelType w:val="hybridMultilevel"/>
    <w:tmpl w:val="0504C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8600C"/>
    <w:multiLevelType w:val="hybridMultilevel"/>
    <w:tmpl w:val="D4E2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AD"/>
    <w:rsid w:val="00052A97"/>
    <w:rsid w:val="00095D18"/>
    <w:rsid w:val="000B269A"/>
    <w:rsid w:val="00110069"/>
    <w:rsid w:val="00124A37"/>
    <w:rsid w:val="00125E2A"/>
    <w:rsid w:val="00156394"/>
    <w:rsid w:val="001A460E"/>
    <w:rsid w:val="001F7686"/>
    <w:rsid w:val="00201DE2"/>
    <w:rsid w:val="00230FAD"/>
    <w:rsid w:val="00264B5F"/>
    <w:rsid w:val="002A2FB3"/>
    <w:rsid w:val="002D26F3"/>
    <w:rsid w:val="003150EC"/>
    <w:rsid w:val="00384CF4"/>
    <w:rsid w:val="003A5845"/>
    <w:rsid w:val="004056A1"/>
    <w:rsid w:val="004557E3"/>
    <w:rsid w:val="00496874"/>
    <w:rsid w:val="00502043"/>
    <w:rsid w:val="005D41F8"/>
    <w:rsid w:val="00602203"/>
    <w:rsid w:val="00610A67"/>
    <w:rsid w:val="006C7E80"/>
    <w:rsid w:val="0073021A"/>
    <w:rsid w:val="00772B53"/>
    <w:rsid w:val="008517C6"/>
    <w:rsid w:val="0087223D"/>
    <w:rsid w:val="0087517D"/>
    <w:rsid w:val="00995977"/>
    <w:rsid w:val="009E2622"/>
    <w:rsid w:val="00A10C54"/>
    <w:rsid w:val="00AC2D4E"/>
    <w:rsid w:val="00B56DBD"/>
    <w:rsid w:val="00BA1AE4"/>
    <w:rsid w:val="00CC1E33"/>
    <w:rsid w:val="00CD16EF"/>
    <w:rsid w:val="00CE35BD"/>
    <w:rsid w:val="00CF7562"/>
    <w:rsid w:val="00D6100F"/>
    <w:rsid w:val="00DA06E1"/>
    <w:rsid w:val="00DB4EB8"/>
    <w:rsid w:val="00DF1130"/>
    <w:rsid w:val="00E324FB"/>
    <w:rsid w:val="00E410DC"/>
    <w:rsid w:val="00E50805"/>
    <w:rsid w:val="00E97A3C"/>
    <w:rsid w:val="00EF58A8"/>
    <w:rsid w:val="00F10839"/>
    <w:rsid w:val="00F23F8E"/>
    <w:rsid w:val="00F243E6"/>
    <w:rsid w:val="00FD093F"/>
    <w:rsid w:val="00F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4056A1"/>
    <w:pPr>
      <w:keepLines w:val="0"/>
      <w:numPr>
        <w:numId w:val="1"/>
      </w:numPr>
      <w:spacing w:before="120" w:after="120" w:line="240" w:lineRule="auto"/>
      <w:outlineLvl w:val="2"/>
    </w:pPr>
    <w:rPr>
      <w:rFonts w:ascii="Arial" w:eastAsiaTheme="minorHAnsi" w:hAnsi="Arial" w:cstheme="minorBidi"/>
      <w:bCs w:val="0"/>
      <w:color w:val="auto"/>
      <w:kern w:val="28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link w:val="paraChar"/>
    <w:qFormat/>
    <w:rsid w:val="00CE35BD"/>
    <w:pPr>
      <w:spacing w:after="120" w:line="240" w:lineRule="auto"/>
    </w:pPr>
    <w:rPr>
      <w:rFonts w:ascii="Arial" w:hAnsi="Arial"/>
      <w:sz w:val="20"/>
    </w:rPr>
  </w:style>
  <w:style w:type="character" w:customStyle="1" w:styleId="paraChar">
    <w:name w:val="para Char"/>
    <w:basedOn w:val="DefaultParagraphFont"/>
    <w:link w:val="para"/>
    <w:rsid w:val="00CE35BD"/>
    <w:rPr>
      <w:rFonts w:ascii="Arial" w:hAnsi="Arial"/>
      <w:sz w:val="20"/>
    </w:rPr>
  </w:style>
  <w:style w:type="character" w:customStyle="1" w:styleId="Heading3Char">
    <w:name w:val="Heading 3 Char"/>
    <w:basedOn w:val="Heading1Char"/>
    <w:link w:val="Heading3"/>
    <w:rsid w:val="004056A1"/>
    <w:rPr>
      <w:rFonts w:ascii="Arial" w:eastAsiaTheme="majorEastAsia" w:hAnsi="Arial" w:cstheme="majorBidi"/>
      <w:b/>
      <w:bCs/>
      <w:color w:val="365F91" w:themeColor="accent1" w:themeShade="BF"/>
      <w:kern w:val="28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3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6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1"/>
    <w:next w:val="Normal"/>
    <w:link w:val="Heading3Char"/>
    <w:qFormat/>
    <w:rsid w:val="004056A1"/>
    <w:pPr>
      <w:keepLines w:val="0"/>
      <w:numPr>
        <w:numId w:val="1"/>
      </w:numPr>
      <w:spacing w:before="120" w:after="120" w:line="240" w:lineRule="auto"/>
      <w:outlineLvl w:val="2"/>
    </w:pPr>
    <w:rPr>
      <w:rFonts w:ascii="Arial" w:eastAsiaTheme="minorHAnsi" w:hAnsi="Arial" w:cstheme="minorBidi"/>
      <w:bCs w:val="0"/>
      <w:color w:val="auto"/>
      <w:kern w:val="28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link w:val="paraChar"/>
    <w:qFormat/>
    <w:rsid w:val="00CE35BD"/>
    <w:pPr>
      <w:spacing w:after="120" w:line="240" w:lineRule="auto"/>
    </w:pPr>
    <w:rPr>
      <w:rFonts w:ascii="Arial" w:hAnsi="Arial"/>
      <w:sz w:val="20"/>
    </w:rPr>
  </w:style>
  <w:style w:type="character" w:customStyle="1" w:styleId="paraChar">
    <w:name w:val="para Char"/>
    <w:basedOn w:val="DefaultParagraphFont"/>
    <w:link w:val="para"/>
    <w:rsid w:val="00CE35BD"/>
    <w:rPr>
      <w:rFonts w:ascii="Arial" w:hAnsi="Arial"/>
      <w:sz w:val="20"/>
    </w:rPr>
  </w:style>
  <w:style w:type="character" w:customStyle="1" w:styleId="Heading3Char">
    <w:name w:val="Heading 3 Char"/>
    <w:basedOn w:val="Heading1Char"/>
    <w:link w:val="Heading3"/>
    <w:rsid w:val="004056A1"/>
    <w:rPr>
      <w:rFonts w:ascii="Arial" w:eastAsiaTheme="majorEastAsia" w:hAnsi="Arial" w:cstheme="majorBidi"/>
      <w:b/>
      <w:bCs/>
      <w:color w:val="365F91" w:themeColor="accent1" w:themeShade="BF"/>
      <w:kern w:val="28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0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3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ritt\Documents\Newsletter_Articles\Product_Article_Title_init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B52AD-A74C-463F-A459-0D6C15B4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Product_Article_Title_initials.dotx</Template>
  <TotalTime>94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Mapping Teamcenter Person Profile Information from Owning User on Item Revision to Solid Edge Draft in Solid Edge Embedded Client</vt:lpstr>
      <vt:lpstr>SolidEdgeTranslationServices.exe Command Line Switches</vt:lpstr>
    </vt:vector>
  </TitlesOfParts>
  <Company>Siemens PLM Software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SolidEdgeTranslationServices.exe Command Line Switches</dc:title>
  <dc:creator>David C. Merritt</dc:creator>
  <cp:keywords>product:solid_edge; doc_type:newsletter; id:merrittd_090313_2</cp:keywords>
  <cp:lastModifiedBy>David C. Merritt</cp:lastModifiedBy>
  <cp:revision>6</cp:revision>
  <dcterms:created xsi:type="dcterms:W3CDTF">2013-08-06T11:03:00Z</dcterms:created>
  <dcterms:modified xsi:type="dcterms:W3CDTF">2013-09-03T07:49:00Z</dcterms:modified>
</cp:coreProperties>
</file>