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21FA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Sistema Modular de Hojas Inteligentes Versión 2. SGE</w:t>
      </w:r>
    </w:p>
    <w:p w14:paraId="0B534964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1. Descripción General del Sistema</w:t>
      </w:r>
    </w:p>
    <w:p w14:paraId="15334571" w14:textId="77777777" w:rsidR="0059517B" w:rsidRPr="0059517B" w:rsidRDefault="0059517B" w:rsidP="0059517B">
      <w:r w:rsidRPr="0059517B">
        <w:rPr>
          <w:b/>
          <w:bCs/>
        </w:rPr>
        <w:t>Concepto: Hojas Inteligentes Modulares (HIM)</w:t>
      </w:r>
      <w:r w:rsidRPr="0059517B">
        <w:t xml:space="preserve"> El sistema implementado para Xelle Scientific representa una evolución desde formatos estáticos hacia </w:t>
      </w:r>
      <w:r w:rsidRPr="0059517B">
        <w:rPr>
          <w:b/>
          <w:bCs/>
        </w:rPr>
        <w:t>Micro-Aplicaciones Web Autocontenidas</w:t>
      </w:r>
      <w:r w:rsidRPr="0059517B">
        <w:t>. Se define como un ecosistema de interfaces digitales de captura de datos estructurados que desacoplan la presentación visual de la lógica de negocio.</w:t>
      </w:r>
    </w:p>
    <w:p w14:paraId="6AFBB7CC" w14:textId="77777777" w:rsidR="0059517B" w:rsidRPr="0059517B" w:rsidRDefault="0059517B" w:rsidP="0059517B">
      <w:r w:rsidRPr="0059517B">
        <w:rPr>
          <w:b/>
          <w:bCs/>
        </w:rPr>
        <w:t>Características Principales:</w:t>
      </w:r>
    </w:p>
    <w:p w14:paraId="55C6EC58" w14:textId="77777777" w:rsidR="0059517B" w:rsidRPr="0059517B" w:rsidRDefault="0059517B" w:rsidP="0059517B">
      <w:pPr>
        <w:numPr>
          <w:ilvl w:val="0"/>
          <w:numId w:val="1"/>
        </w:numPr>
      </w:pPr>
      <w:r w:rsidRPr="0059517B">
        <w:rPr>
          <w:b/>
          <w:bCs/>
        </w:rPr>
        <w:t>Agnósticas:</w:t>
      </w:r>
      <w:r w:rsidRPr="0059517B">
        <w:t xml:space="preserve"> Funcionan en cualquier navegador moderno sin necesidad de instalaciones adicionales.</w:t>
      </w:r>
    </w:p>
    <w:p w14:paraId="4B65C0B6" w14:textId="77777777" w:rsidR="0059517B" w:rsidRPr="0059517B" w:rsidRDefault="0059517B" w:rsidP="0059517B">
      <w:pPr>
        <w:numPr>
          <w:ilvl w:val="0"/>
          <w:numId w:val="1"/>
        </w:numPr>
      </w:pPr>
      <w:r w:rsidRPr="0059517B">
        <w:rPr>
          <w:b/>
          <w:bCs/>
        </w:rPr>
        <w:t>Híbridas:</w:t>
      </w:r>
      <w:r w:rsidRPr="0059517B">
        <w:t xml:space="preserve"> Operan como software interactivo durante la captura (validaciones, alertas, cálculos) y se transforman en documentos de cumplimiento ISO/GMP perfectos al momento de la impresión.</w:t>
      </w:r>
    </w:p>
    <w:p w14:paraId="199EF0AB" w14:textId="77777777" w:rsidR="0059517B" w:rsidRPr="0059517B" w:rsidRDefault="0059517B" w:rsidP="0059517B">
      <w:pPr>
        <w:numPr>
          <w:ilvl w:val="0"/>
          <w:numId w:val="1"/>
        </w:numPr>
      </w:pPr>
      <w:r w:rsidRPr="0059517B">
        <w:rPr>
          <w:b/>
          <w:bCs/>
        </w:rPr>
        <w:t>Locales:</w:t>
      </w:r>
      <w:r w:rsidRPr="0059517B">
        <w:t xml:space="preserve"> La lógica reside en los archivos, eliminando la dependencia de servidores de bases de datos complejos para la operación diaria.</w:t>
      </w:r>
    </w:p>
    <w:p w14:paraId="01838ED7" w14:textId="77777777" w:rsidR="0059517B" w:rsidRPr="0059517B" w:rsidRDefault="0059517B" w:rsidP="0059517B">
      <w:pPr>
        <w:numPr>
          <w:ilvl w:val="0"/>
          <w:numId w:val="1"/>
        </w:numPr>
      </w:pPr>
      <w:r w:rsidRPr="0059517B">
        <w:rPr>
          <w:b/>
          <w:bCs/>
        </w:rPr>
        <w:t>Inteligentes:</w:t>
      </w:r>
      <w:r w:rsidRPr="0059517B">
        <w:t xml:space="preserve"> Poseen lógica de negocio embebida para validar reglas, realizar cálculos de inventario y gestionar estados de trazabilidad de forma autónoma.</w:t>
      </w:r>
    </w:p>
    <w:p w14:paraId="2F0B82DB" w14:textId="77777777" w:rsidR="0059517B" w:rsidRPr="0059517B" w:rsidRDefault="0059517B" w:rsidP="0059517B">
      <w:r w:rsidRPr="0059517B">
        <w:rPr>
          <w:b/>
          <w:bCs/>
        </w:rPr>
        <w:t>Arquitectura Técnica:</w:t>
      </w:r>
      <w:r w:rsidRPr="0059517B">
        <w:t xml:space="preserve"> El sistema se basa en una arquitectura centralizada utilizando tecnologías web estándar (HTML5, CSS3, JavaScript ES6):</w:t>
      </w:r>
    </w:p>
    <w:p w14:paraId="67A7E09A" w14:textId="77777777" w:rsidR="0059517B" w:rsidRPr="0059517B" w:rsidRDefault="0059517B" w:rsidP="0059517B">
      <w:pPr>
        <w:numPr>
          <w:ilvl w:val="0"/>
          <w:numId w:val="2"/>
        </w:numPr>
      </w:pPr>
      <w:r w:rsidRPr="0059517B">
        <w:rPr>
          <w:b/>
          <w:bCs/>
        </w:rPr>
        <w:t>Estilos Unificados (format-styles.css):</w:t>
      </w:r>
      <w:r w:rsidRPr="0059517B">
        <w:t xml:space="preserve"> Controla la apariencia global, gestionando el diseño responsivo ("Modo App") para la pantalla y la transformación automática ("Modo Documento") para papel.</w:t>
      </w:r>
    </w:p>
    <w:p w14:paraId="2E605F82" w14:textId="77777777" w:rsidR="0059517B" w:rsidRPr="0059517B" w:rsidRDefault="0059517B" w:rsidP="0059517B">
      <w:pPr>
        <w:numPr>
          <w:ilvl w:val="0"/>
          <w:numId w:val="2"/>
        </w:numPr>
      </w:pPr>
      <w:r w:rsidRPr="0059517B">
        <w:rPr>
          <w:b/>
          <w:bCs/>
        </w:rPr>
        <w:t>Motor Lógico Unificado (format-app.js):</w:t>
      </w:r>
      <w:r w:rsidRPr="0059517B">
        <w:t xml:space="preserve"> Contiene el núcleo de funciones universales (guardado, impresión, códigos de barras) y un enrutador inteligente que carga la lógica específica según el documento activo.</w:t>
      </w:r>
    </w:p>
    <w:p w14:paraId="423CBB12" w14:textId="77777777" w:rsidR="0059517B" w:rsidRPr="0059517B" w:rsidRDefault="0059517B" w:rsidP="0059517B">
      <w:pPr>
        <w:numPr>
          <w:ilvl w:val="0"/>
          <w:numId w:val="2"/>
        </w:numPr>
      </w:pPr>
      <w:r w:rsidRPr="0059517B">
        <w:rPr>
          <w:b/>
          <w:bCs/>
        </w:rPr>
        <w:t>Persistencia:</w:t>
      </w:r>
      <w:r w:rsidRPr="0059517B">
        <w:t xml:space="preserve"> Utiliza </w:t>
      </w:r>
      <w:proofErr w:type="spellStart"/>
      <w:r w:rsidRPr="0059517B">
        <w:t>LocalStorage</w:t>
      </w:r>
      <w:proofErr w:type="spellEnd"/>
      <w:r w:rsidRPr="0059517B">
        <w:t xml:space="preserve"> para garantizar que los datos no se pierdan si se cierra el navegador accidentalmente.</w:t>
      </w:r>
    </w:p>
    <w:p w14:paraId="2EE167E6" w14:textId="77777777" w:rsidR="0059517B" w:rsidRPr="0059517B" w:rsidRDefault="0059517B" w:rsidP="0059517B">
      <w:r w:rsidRPr="0059517B">
        <w:pict w14:anchorId="0399310B">
          <v:rect id="_x0000_i1031" style="width:0;height:1.5pt" o:hralign="center" o:hrstd="t" o:hr="t" fillcolor="#a0a0a0" stroked="f"/>
        </w:pict>
      </w:r>
    </w:p>
    <w:p w14:paraId="185BAB8A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2. Descripción Individual de Componentes y Formatos</w:t>
      </w:r>
    </w:p>
    <w:p w14:paraId="0FD07D77" w14:textId="77777777" w:rsidR="0059517B" w:rsidRPr="0059517B" w:rsidRDefault="0059517B" w:rsidP="0059517B">
      <w:r w:rsidRPr="0059517B">
        <w:t xml:space="preserve">A </w:t>
      </w:r>
      <w:proofErr w:type="gramStart"/>
      <w:r w:rsidRPr="0059517B">
        <w:t>continuación</w:t>
      </w:r>
      <w:proofErr w:type="gramEnd"/>
      <w:r w:rsidRPr="0059517B">
        <w:t xml:space="preserve"> se detalla el funcionamiento y propósito de cada archivo contenido en el directorio del sistema.</w:t>
      </w:r>
    </w:p>
    <w:p w14:paraId="4C69F7C6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A. Archivos del Núcleo (Core)</w:t>
      </w:r>
    </w:p>
    <w:p w14:paraId="185353F4" w14:textId="77777777" w:rsidR="0059517B" w:rsidRPr="0059517B" w:rsidRDefault="0059517B" w:rsidP="0059517B">
      <w:pPr>
        <w:numPr>
          <w:ilvl w:val="0"/>
          <w:numId w:val="3"/>
        </w:numPr>
      </w:pPr>
      <w:r w:rsidRPr="0059517B">
        <w:rPr>
          <w:b/>
          <w:bCs/>
        </w:rPr>
        <w:t>format-styles.css</w:t>
      </w:r>
    </w:p>
    <w:p w14:paraId="4FC87621" w14:textId="77777777" w:rsidR="0059517B" w:rsidRPr="0059517B" w:rsidRDefault="0059517B" w:rsidP="0059517B">
      <w:pPr>
        <w:numPr>
          <w:ilvl w:val="1"/>
          <w:numId w:val="3"/>
        </w:numPr>
      </w:pPr>
      <w:r w:rsidRPr="0059517B">
        <w:rPr>
          <w:b/>
          <w:bCs/>
        </w:rPr>
        <w:t>Función:</w:t>
      </w:r>
      <w:r w:rsidRPr="0059517B">
        <w:t xml:space="preserve"> Hoja de estilos maestra.</w:t>
      </w:r>
    </w:p>
    <w:p w14:paraId="5868BC8F" w14:textId="77777777" w:rsidR="0059517B" w:rsidRPr="0059517B" w:rsidRDefault="0059517B" w:rsidP="0059517B">
      <w:pPr>
        <w:numPr>
          <w:ilvl w:val="1"/>
          <w:numId w:val="3"/>
        </w:numPr>
      </w:pPr>
      <w:r w:rsidRPr="0059517B">
        <w:rPr>
          <w:b/>
          <w:bCs/>
        </w:rPr>
        <w:lastRenderedPageBreak/>
        <w:t>Descripción:</w:t>
      </w:r>
      <w:r w:rsidRPr="0059517B">
        <w:t xml:space="preserve"> Define la identidad visual del sistema. Es responsable de ocultar botones e interfaces de usuario al momento de imprimir, asegurando que el resultado físico sea un formato limpio y legalmente válido.</w:t>
      </w:r>
    </w:p>
    <w:p w14:paraId="45169B5B" w14:textId="77777777" w:rsidR="0059517B" w:rsidRPr="0059517B" w:rsidRDefault="0059517B" w:rsidP="0059517B">
      <w:pPr>
        <w:numPr>
          <w:ilvl w:val="0"/>
          <w:numId w:val="3"/>
        </w:numPr>
      </w:pPr>
      <w:r w:rsidRPr="0059517B">
        <w:rPr>
          <w:b/>
          <w:bCs/>
        </w:rPr>
        <w:t>format-app.js</w:t>
      </w:r>
    </w:p>
    <w:p w14:paraId="0F52D0FF" w14:textId="77777777" w:rsidR="0059517B" w:rsidRPr="0059517B" w:rsidRDefault="0059517B" w:rsidP="0059517B">
      <w:pPr>
        <w:numPr>
          <w:ilvl w:val="1"/>
          <w:numId w:val="3"/>
        </w:numPr>
      </w:pPr>
      <w:r w:rsidRPr="0059517B">
        <w:rPr>
          <w:b/>
          <w:bCs/>
        </w:rPr>
        <w:t>Función:</w:t>
      </w:r>
      <w:r w:rsidRPr="0059517B">
        <w:t xml:space="preserve"> Cerebro lógico del sistema.</w:t>
      </w:r>
    </w:p>
    <w:p w14:paraId="77287F6E" w14:textId="77777777" w:rsidR="0059517B" w:rsidRPr="0059517B" w:rsidRDefault="0059517B" w:rsidP="0059517B">
      <w:pPr>
        <w:numPr>
          <w:ilvl w:val="1"/>
          <w:numId w:val="3"/>
        </w:numPr>
      </w:pPr>
      <w:r w:rsidRPr="0059517B">
        <w:rPr>
          <w:b/>
          <w:bCs/>
        </w:rPr>
        <w:t>Descripción:</w:t>
      </w:r>
      <w:r w:rsidRPr="0059517B">
        <w:t xml:space="preserve"> Script modular que detecta el ID del formato abierto. Gestiona la generación de códigos de barras, el autocompletado de fechas, la validación de firmas y la lógica específica de cada proceso (ej. cálculos de inventario).</w:t>
      </w:r>
    </w:p>
    <w:p w14:paraId="67AD9306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B. Formatos Operativos (Serie FO-LC)</w:t>
      </w:r>
    </w:p>
    <w:p w14:paraId="08EE34F6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Recepción y Evaluación</w:t>
      </w:r>
    </w:p>
    <w:p w14:paraId="3572646F" w14:textId="77777777" w:rsidR="0059517B" w:rsidRPr="0059517B" w:rsidRDefault="0059517B" w:rsidP="0059517B">
      <w:pPr>
        <w:numPr>
          <w:ilvl w:val="0"/>
          <w:numId w:val="4"/>
        </w:numPr>
      </w:pPr>
      <w:r w:rsidRPr="0059517B">
        <w:rPr>
          <w:b/>
          <w:bCs/>
        </w:rPr>
        <w:t>FO-LC-17.html (Recepción de Muestras y Datos Clínicos)</w:t>
      </w:r>
    </w:p>
    <w:p w14:paraId="0083D078" w14:textId="77777777" w:rsidR="0059517B" w:rsidRPr="0059517B" w:rsidRDefault="0059517B" w:rsidP="0059517B">
      <w:pPr>
        <w:numPr>
          <w:ilvl w:val="1"/>
          <w:numId w:val="4"/>
        </w:numPr>
      </w:pPr>
      <w:r w:rsidRPr="0059517B">
        <w:t>Formulario de entrada con validaciones para asegurar la integridad de los datos del paciente y la muestra al momento del ingreso.</w:t>
      </w:r>
    </w:p>
    <w:p w14:paraId="5BE12C69" w14:textId="77777777" w:rsidR="0059517B" w:rsidRPr="0059517B" w:rsidRDefault="0059517B" w:rsidP="0059517B">
      <w:pPr>
        <w:numPr>
          <w:ilvl w:val="0"/>
          <w:numId w:val="4"/>
        </w:numPr>
      </w:pPr>
      <w:r w:rsidRPr="0059517B">
        <w:rPr>
          <w:b/>
          <w:bCs/>
        </w:rPr>
        <w:t>FO-LC-18.html (Evaluación Macroscópica de Tejido)</w:t>
      </w:r>
    </w:p>
    <w:p w14:paraId="6871A769" w14:textId="77777777" w:rsidR="0059517B" w:rsidRPr="0059517B" w:rsidRDefault="0059517B" w:rsidP="0059517B">
      <w:pPr>
        <w:numPr>
          <w:ilvl w:val="1"/>
          <w:numId w:val="4"/>
        </w:numPr>
      </w:pPr>
      <w:r w:rsidRPr="0059517B">
        <w:t>Herramienta para el registro detallado de las características físicas del tejido recibido, con campos para firmas y validaciones de conformidad.</w:t>
      </w:r>
    </w:p>
    <w:p w14:paraId="6B3068B1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Calidad y Liberación</w:t>
      </w:r>
    </w:p>
    <w:p w14:paraId="3B2D50AD" w14:textId="77777777" w:rsidR="0059517B" w:rsidRPr="0059517B" w:rsidRDefault="0059517B" w:rsidP="0059517B">
      <w:pPr>
        <w:numPr>
          <w:ilvl w:val="0"/>
          <w:numId w:val="5"/>
        </w:numPr>
      </w:pPr>
      <w:r w:rsidRPr="0059517B">
        <w:rPr>
          <w:b/>
          <w:bCs/>
        </w:rPr>
        <w:t>FO-LC-19.html (Liberación y Control de Calidad)</w:t>
      </w:r>
    </w:p>
    <w:p w14:paraId="547CD8C9" w14:textId="77777777" w:rsidR="0059517B" w:rsidRPr="0059517B" w:rsidRDefault="0059517B" w:rsidP="0059517B">
      <w:pPr>
        <w:numPr>
          <w:ilvl w:val="1"/>
          <w:numId w:val="5"/>
        </w:numPr>
      </w:pPr>
      <w:r w:rsidRPr="0059517B">
        <w:t>Documento para dictámenes de calidad, consolidando la información para la aprobación o rechazo de lotes.</w:t>
      </w:r>
    </w:p>
    <w:p w14:paraId="54956BFD" w14:textId="77777777" w:rsidR="0059517B" w:rsidRPr="0059517B" w:rsidRDefault="0059517B" w:rsidP="0059517B">
      <w:pPr>
        <w:numPr>
          <w:ilvl w:val="0"/>
          <w:numId w:val="5"/>
        </w:numPr>
      </w:pPr>
      <w:r w:rsidRPr="0059517B">
        <w:rPr>
          <w:b/>
          <w:bCs/>
        </w:rPr>
        <w:t>FO-LC-41.html (Control Microbiológico de Muestras)</w:t>
      </w:r>
    </w:p>
    <w:p w14:paraId="035CA201" w14:textId="77777777" w:rsidR="0059517B" w:rsidRPr="0059517B" w:rsidRDefault="0059517B" w:rsidP="0059517B">
      <w:pPr>
        <w:numPr>
          <w:ilvl w:val="1"/>
          <w:numId w:val="5"/>
        </w:numPr>
      </w:pPr>
      <w:r w:rsidRPr="0059517B">
        <w:t>Formato estandarizado con tablas dinámicas para el registro de resultados microbiológicos.</w:t>
      </w:r>
    </w:p>
    <w:p w14:paraId="13BFB2B8" w14:textId="77777777" w:rsidR="0059517B" w:rsidRPr="0059517B" w:rsidRDefault="0059517B" w:rsidP="0059517B">
      <w:pPr>
        <w:numPr>
          <w:ilvl w:val="0"/>
          <w:numId w:val="5"/>
        </w:numPr>
      </w:pPr>
      <w:r w:rsidRPr="0059517B">
        <w:rPr>
          <w:b/>
          <w:bCs/>
        </w:rPr>
        <w:t>FO-LC-44.html (Liberación Microbiológica Flasks y Crioviales)</w:t>
      </w:r>
    </w:p>
    <w:p w14:paraId="3C37F2B8" w14:textId="77777777" w:rsidR="0059517B" w:rsidRPr="0059517B" w:rsidRDefault="0059517B" w:rsidP="0059517B">
      <w:pPr>
        <w:numPr>
          <w:ilvl w:val="1"/>
          <w:numId w:val="5"/>
        </w:numPr>
      </w:pPr>
      <w:r w:rsidRPr="0059517B">
        <w:t>Documento específico para la liberación de seguridad de los contenedores de cultivo y almacenamiento final.</w:t>
      </w:r>
    </w:p>
    <w:p w14:paraId="49674752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Procesamiento y Cultivo</w:t>
      </w:r>
    </w:p>
    <w:p w14:paraId="1A2803C3" w14:textId="77777777" w:rsidR="0059517B" w:rsidRPr="0059517B" w:rsidRDefault="0059517B" w:rsidP="0059517B">
      <w:pPr>
        <w:numPr>
          <w:ilvl w:val="0"/>
          <w:numId w:val="6"/>
        </w:numPr>
      </w:pPr>
      <w:r w:rsidRPr="0059517B">
        <w:rPr>
          <w:b/>
          <w:bCs/>
        </w:rPr>
        <w:t>FO-LC-20.html (Procesamiento de Placenta y Cultivo Inicial)</w:t>
      </w:r>
    </w:p>
    <w:p w14:paraId="0C2503B2" w14:textId="77777777" w:rsidR="0059517B" w:rsidRPr="0059517B" w:rsidRDefault="0059517B" w:rsidP="0059517B">
      <w:pPr>
        <w:numPr>
          <w:ilvl w:val="1"/>
          <w:numId w:val="6"/>
        </w:numPr>
      </w:pPr>
      <w:r w:rsidRPr="0059517B">
        <w:t>Incluye lógica condicional avanzada; despliega secciones adicionales automáticamente si el proceso implica congelación y gestiona el uso de insumos.</w:t>
      </w:r>
    </w:p>
    <w:p w14:paraId="030B6B74" w14:textId="77777777" w:rsidR="0059517B" w:rsidRPr="0059517B" w:rsidRDefault="0059517B" w:rsidP="0059517B">
      <w:pPr>
        <w:numPr>
          <w:ilvl w:val="0"/>
          <w:numId w:val="6"/>
        </w:numPr>
      </w:pPr>
      <w:r w:rsidRPr="0059517B">
        <w:rPr>
          <w:b/>
          <w:bCs/>
        </w:rPr>
        <w:t>FO-LC-21.html (Bitácora de Cultivo y Mantenimiento Celular)</w:t>
      </w:r>
    </w:p>
    <w:p w14:paraId="682605EC" w14:textId="77777777" w:rsidR="0059517B" w:rsidRPr="0059517B" w:rsidRDefault="0059517B" w:rsidP="0059517B">
      <w:pPr>
        <w:numPr>
          <w:ilvl w:val="1"/>
          <w:numId w:val="6"/>
        </w:numPr>
      </w:pPr>
      <w:r w:rsidRPr="0059517B">
        <w:lastRenderedPageBreak/>
        <w:t>Maneja lógica compleja de relaciones "Padre-Hijo" para trazar subcultivos, detectar contaminación y registrar la trazabilidad de los medios de cultivo utilizados.</w:t>
      </w:r>
    </w:p>
    <w:p w14:paraId="15BE2534" w14:textId="77777777" w:rsidR="0059517B" w:rsidRPr="0059517B" w:rsidRDefault="0059517B" w:rsidP="0059517B">
      <w:pPr>
        <w:numPr>
          <w:ilvl w:val="0"/>
          <w:numId w:val="6"/>
        </w:numPr>
      </w:pPr>
      <w:r w:rsidRPr="0059517B">
        <w:rPr>
          <w:b/>
          <w:bCs/>
        </w:rPr>
        <w:t>FO-LC-22.html (Registro de Criopreservación Banco Celular)</w:t>
      </w:r>
    </w:p>
    <w:p w14:paraId="3AA5E6AD" w14:textId="77777777" w:rsidR="0059517B" w:rsidRPr="0059517B" w:rsidRDefault="0059517B" w:rsidP="0059517B">
      <w:pPr>
        <w:numPr>
          <w:ilvl w:val="1"/>
          <w:numId w:val="6"/>
        </w:numPr>
      </w:pPr>
      <w:r w:rsidRPr="0059517B">
        <w:t>Incorpora una visualización gráfica interactiva (</w:t>
      </w:r>
      <w:proofErr w:type="spellStart"/>
      <w:r w:rsidRPr="0059517B">
        <w:t>Grid</w:t>
      </w:r>
      <w:proofErr w:type="spellEnd"/>
      <w:r w:rsidRPr="0059517B">
        <w:t>) donde las celdas cambian de color automáticamente según el número de pase celular, facilitando la gestión visual del banco.</w:t>
      </w:r>
    </w:p>
    <w:p w14:paraId="098F49D3" w14:textId="77777777" w:rsidR="0059517B" w:rsidRPr="0059517B" w:rsidRDefault="0059517B" w:rsidP="0059517B">
      <w:pPr>
        <w:numPr>
          <w:ilvl w:val="0"/>
          <w:numId w:val="6"/>
        </w:numPr>
      </w:pPr>
      <w:r w:rsidRPr="0059517B">
        <w:rPr>
          <w:b/>
          <w:bCs/>
        </w:rPr>
        <w:t>FO-LC-23.html (Movimiento en Banco Celular)</w:t>
      </w:r>
    </w:p>
    <w:p w14:paraId="590FE85C" w14:textId="77777777" w:rsidR="0059517B" w:rsidRPr="0059517B" w:rsidRDefault="0059517B" w:rsidP="0059517B">
      <w:pPr>
        <w:numPr>
          <w:ilvl w:val="1"/>
          <w:numId w:val="6"/>
        </w:numPr>
      </w:pPr>
      <w:r w:rsidRPr="0059517B">
        <w:t>Herramienta de trazabilidad para registrar entradas, salidas y ubicaciones dentro del banco celular.</w:t>
      </w:r>
    </w:p>
    <w:p w14:paraId="525200EA" w14:textId="77777777" w:rsidR="0059517B" w:rsidRPr="0059517B" w:rsidRDefault="0059517B" w:rsidP="0059517B">
      <w:pPr>
        <w:rPr>
          <w:b/>
          <w:bCs/>
        </w:rPr>
      </w:pPr>
      <w:r w:rsidRPr="0059517B">
        <w:rPr>
          <w:b/>
          <w:bCs/>
        </w:rPr>
        <w:t>Producción Específica</w:t>
      </w:r>
    </w:p>
    <w:p w14:paraId="2EF9F5A3" w14:textId="77777777" w:rsidR="0059517B" w:rsidRPr="0059517B" w:rsidRDefault="0059517B" w:rsidP="0059517B">
      <w:pPr>
        <w:numPr>
          <w:ilvl w:val="0"/>
          <w:numId w:val="7"/>
        </w:numPr>
      </w:pPr>
      <w:r w:rsidRPr="0059517B">
        <w:rPr>
          <w:b/>
          <w:bCs/>
        </w:rPr>
        <w:t>FO-LC-24.html (Registro Diario de Dosificación)</w:t>
      </w:r>
    </w:p>
    <w:p w14:paraId="465145E2" w14:textId="77777777" w:rsidR="0059517B" w:rsidRPr="0059517B" w:rsidRDefault="0059517B" w:rsidP="0059517B">
      <w:pPr>
        <w:numPr>
          <w:ilvl w:val="1"/>
          <w:numId w:val="7"/>
        </w:numPr>
      </w:pPr>
      <w:r w:rsidRPr="0059517B">
        <w:t>Cuenta con un sistema de inventario en tiempo real. Autogenera códigos únicos por dosis y maneja lógica de "Reprocesos/Devoluciones" con recálculo automático de saldos.</w:t>
      </w:r>
    </w:p>
    <w:p w14:paraId="36F2B682" w14:textId="77777777" w:rsidR="0059517B" w:rsidRPr="0059517B" w:rsidRDefault="0059517B" w:rsidP="0059517B">
      <w:pPr>
        <w:numPr>
          <w:ilvl w:val="0"/>
          <w:numId w:val="7"/>
        </w:numPr>
      </w:pPr>
      <w:r w:rsidRPr="0059517B">
        <w:rPr>
          <w:b/>
          <w:bCs/>
        </w:rPr>
        <w:t>FO-LC-42.html (Bitácora de Liofilización de Placenta)</w:t>
      </w:r>
    </w:p>
    <w:p w14:paraId="1850770A" w14:textId="77777777" w:rsidR="0059517B" w:rsidRPr="0059517B" w:rsidRDefault="0059517B" w:rsidP="0059517B">
      <w:pPr>
        <w:numPr>
          <w:ilvl w:val="1"/>
          <w:numId w:val="7"/>
        </w:numPr>
      </w:pPr>
      <w:r w:rsidRPr="0059517B">
        <w:t>Registro especializado para el control de ciclos de liofilización de tejido.</w:t>
      </w:r>
    </w:p>
    <w:p w14:paraId="61F37DFE" w14:textId="77777777" w:rsidR="0059517B" w:rsidRPr="0059517B" w:rsidRDefault="0059517B" w:rsidP="0059517B">
      <w:pPr>
        <w:numPr>
          <w:ilvl w:val="0"/>
          <w:numId w:val="7"/>
        </w:numPr>
      </w:pPr>
      <w:r w:rsidRPr="0059517B">
        <w:rPr>
          <w:b/>
          <w:bCs/>
        </w:rPr>
        <w:t>FO-LC-43.html (Liofilización de Medio Condicionado - MC)</w:t>
      </w:r>
    </w:p>
    <w:p w14:paraId="55355E6D" w14:textId="77777777" w:rsidR="0059517B" w:rsidRPr="0059517B" w:rsidRDefault="0059517B" w:rsidP="0059517B">
      <w:pPr>
        <w:numPr>
          <w:ilvl w:val="1"/>
          <w:numId w:val="7"/>
        </w:numPr>
      </w:pPr>
      <w:r w:rsidRPr="0059517B">
        <w:t>Formato adaptado para los parámetros específicos del procesamiento de medio condicionado.</w:t>
      </w:r>
    </w:p>
    <w:p w14:paraId="7B745DAD" w14:textId="77777777" w:rsidR="0059517B" w:rsidRPr="0059517B" w:rsidRDefault="0059517B" w:rsidP="0059517B">
      <w:pPr>
        <w:numPr>
          <w:ilvl w:val="0"/>
          <w:numId w:val="7"/>
        </w:numPr>
      </w:pPr>
      <w:r w:rsidRPr="0059517B">
        <w:rPr>
          <w:b/>
          <w:bCs/>
        </w:rPr>
        <w:t>FO-LC-45.html (Embalaje y Envío a Esterilización)</w:t>
      </w:r>
    </w:p>
    <w:p w14:paraId="3A3AAD22" w14:textId="77777777" w:rsidR="0059517B" w:rsidRPr="0059517B" w:rsidRDefault="0059517B" w:rsidP="0059517B">
      <w:pPr>
        <w:numPr>
          <w:ilvl w:val="1"/>
          <w:numId w:val="7"/>
        </w:numPr>
      </w:pPr>
      <w:r w:rsidRPr="0059517B">
        <w:t>Documento de logística final que asegura el correcto empaquetado y la cadena de custodia hacia el proceso de esterilización.</w:t>
      </w:r>
    </w:p>
    <w:p w14:paraId="0ADDAD5C" w14:textId="77777777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20C4"/>
    <w:multiLevelType w:val="multilevel"/>
    <w:tmpl w:val="949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3952"/>
    <w:multiLevelType w:val="multilevel"/>
    <w:tmpl w:val="76D6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B48"/>
    <w:multiLevelType w:val="multilevel"/>
    <w:tmpl w:val="A60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40E9"/>
    <w:multiLevelType w:val="multilevel"/>
    <w:tmpl w:val="D07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62C62"/>
    <w:multiLevelType w:val="multilevel"/>
    <w:tmpl w:val="CCD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A7C67"/>
    <w:multiLevelType w:val="multilevel"/>
    <w:tmpl w:val="9FC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E2D38"/>
    <w:multiLevelType w:val="multilevel"/>
    <w:tmpl w:val="D10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849647">
    <w:abstractNumId w:val="1"/>
  </w:num>
  <w:num w:numId="2" w16cid:durableId="955142357">
    <w:abstractNumId w:val="4"/>
  </w:num>
  <w:num w:numId="3" w16cid:durableId="1165627711">
    <w:abstractNumId w:val="2"/>
  </w:num>
  <w:num w:numId="4" w16cid:durableId="1192839847">
    <w:abstractNumId w:val="5"/>
  </w:num>
  <w:num w:numId="5" w16cid:durableId="988677031">
    <w:abstractNumId w:val="0"/>
  </w:num>
  <w:num w:numId="6" w16cid:durableId="1576354782">
    <w:abstractNumId w:val="3"/>
  </w:num>
  <w:num w:numId="7" w16cid:durableId="536503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49"/>
    <w:rsid w:val="0015517E"/>
    <w:rsid w:val="00200E0E"/>
    <w:rsid w:val="00303297"/>
    <w:rsid w:val="004F2649"/>
    <w:rsid w:val="00506049"/>
    <w:rsid w:val="0058706B"/>
    <w:rsid w:val="0059517B"/>
    <w:rsid w:val="00C80A16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479FA-0CD1-4EE8-A89A-38B98AA9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754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2</cp:revision>
  <dcterms:created xsi:type="dcterms:W3CDTF">2026-01-05T23:12:00Z</dcterms:created>
  <dcterms:modified xsi:type="dcterms:W3CDTF">2026-01-05T23:12:00Z</dcterms:modified>
</cp:coreProperties>
</file>