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Foundry Research Book</w:t>
      </w:r>
    </w:p>
    <w:p>
      <w:pPr>
        <w:jc w:val="center"/>
      </w:pPr>
      <w:r>
        <w:rPr>
          <w:i/>
          <w:sz w:val="24"/>
        </w:rPr>
        <w:t>A consolidated research record for the graph-native SDLC, runtime integration, model swarms, and the visual-to-code IDE</w:t>
      </w:r>
    </w:p>
    <w:p>
      <w:pPr>
        <w:jc w:val="center"/>
      </w:pPr>
      <w:r>
        <w:rPr>
          <w:sz w:val="22"/>
        </w:rPr>
        <w:t>Generated: 2026-03-22</w:t>
      </w:r>
    </w:p>
    <w:p/>
    <w:p>
      <w:pPr>
        <w:pStyle w:val="IntenseQuote"/>
      </w:pPr>
      <w:r>
        <w:t>This edition rebuilds the research package from the surviving uploaded files, the established design record in the chat, and current official public sources. Some earlier uploads expired before regeneration and are therefore represented through reconstructed synthesis rather than direct inclusion.</w:t>
      </w:r>
    </w:p>
    <w:p>
      <w:r>
        <w:br w:type="page"/>
      </w:r>
    </w:p>
    <w:p>
      <w:pPr>
        <w:pStyle w:val="Heading1"/>
      </w:pPr>
      <w:r>
        <w:t>Contents</w:t>
      </w:r>
    </w:p>
    <w:p>
      <w:pPr>
        <w:pStyle w:val="ListBullet"/>
      </w:pPr>
      <w:r>
        <w:t>Part I — North Star</w:t>
      </w:r>
    </w:p>
    <w:p>
      <w:pPr>
        <w:pStyle w:val="ListBullet"/>
      </w:pPr>
      <w:r>
        <w:t>Part II — Foundry as the Definition Brain</w:t>
      </w:r>
    </w:p>
    <w:p>
      <w:pPr>
        <w:pStyle w:val="ListBullet"/>
      </w:pPr>
      <w:r>
        <w:t>Part III — Workspace Import, Scaffolding, and Knowledge Enrichment</w:t>
      </w:r>
    </w:p>
    <w:p>
      <w:pPr>
        <w:pStyle w:val="ListBullet"/>
      </w:pPr>
      <w:r>
        <w:t>Part IV — Runtime Integration Strategy</w:t>
      </w:r>
    </w:p>
    <w:p>
      <w:pPr>
        <w:pStyle w:val="ListBullet"/>
      </w:pPr>
      <w:r>
        <w:t>Part V — Model Investigation</w:t>
      </w:r>
    </w:p>
    <w:p>
      <w:pPr>
        <w:pStyle w:val="ListBullet"/>
      </w:pPr>
      <w:r>
        <w:t>Part VI — The Visual-to-Code IDE</w:t>
      </w:r>
    </w:p>
    <w:p>
      <w:pPr>
        <w:pStyle w:val="ListBullet"/>
      </w:pPr>
      <w:r>
        <w:t>Part VII — Consensus and Adversarial Review</w:t>
      </w:r>
    </w:p>
    <w:p>
      <w:pPr>
        <w:pStyle w:val="ListBullet"/>
      </w:pPr>
      <w:r>
        <w:t>Part VIII — Local Model and SSH-Tunneled Execution</w:t>
      </w:r>
    </w:p>
    <w:p>
      <w:pPr>
        <w:pStyle w:val="ListBullet"/>
      </w:pPr>
      <w:r>
        <w:t>Part IX — Implementation Plan</w:t>
      </w:r>
    </w:p>
    <w:p>
      <w:pPr>
        <w:pStyle w:val="ListBullet"/>
      </w:pPr>
      <w:r>
        <w:t>Part X — Risks, Open Questions, and Sources</w:t>
      </w:r>
    </w:p>
    <w:p>
      <w:r>
        <w:br w:type="page"/>
      </w:r>
    </w:p>
    <w:p>
      <w:pPr>
        <w:pStyle w:val="Heading1"/>
      </w:pPr>
      <w:r>
        <w:t>Part I — North Star</w:t>
      </w:r>
    </w:p>
    <w:p>
      <w:pPr>
        <w:pStyle w:val="Heading2"/>
      </w:pPr>
      <w:r>
        <w:t>What Foundry is meant to become</w:t>
      </w:r>
    </w:p>
    <w:p>
      <w:r>
        <w:t>Foundry is intended to be a graph-native SDLC operating environment rather than a prompt layer or static diagrammer. It should let a human stay in the requirement and design space while increasingly cheaper, more specialized model lanes execute bounded work only after structure, visualization, and approval are complete.</w:t>
      </w:r>
    </w:p>
    <w:p>
      <w:pPr>
        <w:pStyle w:val="Heading2"/>
      </w:pPr>
      <w:r>
        <w:t>The central design principle</w:t>
      </w:r>
    </w:p>
    <w:p>
      <w:r>
        <w:t>The most important conceptual result in the chat was that diagrams are executable indexes into design intent. A node in the graph should anchor requirements, scope, tasks, verification, and learning rather than merely serving as a picture.</w:t>
      </w:r>
    </w:p>
    <w:p>
      <w:r>
        <w:br w:type="page"/>
      </w:r>
    </w:p>
    <w:p>
      <w:pPr>
        <w:pStyle w:val="Heading1"/>
      </w:pPr>
      <w:r>
        <w:t>Part II — Foundry as the Definition Brain</w:t>
      </w:r>
    </w:p>
    <w:p>
      <w:pPr>
        <w:pStyle w:val="Heading2"/>
      </w:pPr>
      <w:r>
        <w:t>Why Foundry stays above the runtimes</w:t>
      </w:r>
    </w:p>
    <w:p>
      <w:r>
        <w:t>Foundry should own requirement capture, ontology, diagrams, schema generation, approval, blast-radius analysis, runtime routing, continuity, and evidence. Ralph, Claude Code, Cursor, Codex, and OpenClaw should remain replaceable execution or interaction surfaces beneath that layer.</w:t>
      </w:r>
    </w:p>
    <w:p>
      <w:pPr>
        <w:pStyle w:val="Heading2"/>
      </w:pPr>
      <w:r>
        <w:t>The graph-native SDLC model</w:t>
      </w:r>
    </w:p>
    <w:p>
      <w:r>
        <w:t>The graph should represent ecosystems, systems, components, routes, state transitions, deployments, telemetry, knowledge packs, and verification artifacts. Diagrams should be rendered views of this model. PRD shards and work orders should be graph-bound contracts.</w:t>
      </w:r>
    </w:p>
    <w:p>
      <w:pPr>
        <w:pStyle w:val="Heading2"/>
      </w:pPr>
      <w:r>
        <w:t>Why requirements must become executable PRD shards</w:t>
      </w:r>
    </w:p>
    <w:p>
      <w:r>
        <w:t>Low-cost execution only becomes safe after requirement packs are decomposed into acceptance criteria, diagram sets, schema sets, and bounded work orders that have already passed adversarial and verification review.</w:t>
      </w:r>
    </w:p>
    <w:p>
      <w:r>
        <w:br w:type="page"/>
      </w:r>
    </w:p>
    <w:p>
      <w:pPr>
        <w:pStyle w:val="Heading1"/>
      </w:pPr>
      <w:r>
        <w:t>Part III — Workspace Import, Scaffolding, and Knowledge Enrichment</w:t>
      </w:r>
    </w:p>
    <w:p>
      <w:pPr>
        <w:pStyle w:val="Heading2"/>
      </w:pPr>
      <w:r>
        <w:t>Existing ecosystems must be first-class citizens</w:t>
      </w:r>
    </w:p>
    <w:p>
      <w:r>
        <w:t>Foundry must initialize from real workspaces, not just greenfield demos. It should ingest current rules, diagrams, task-state files, and code structure, then infer current design patterns and identify knowledge or governance gaps.</w:t>
      </w:r>
    </w:p>
    <w:p>
      <w:pPr>
        <w:pStyle w:val="Heading2"/>
      </w:pPr>
      <w:r>
        <w:t>Nx monorepos first, but not only Nx</w:t>
      </w:r>
    </w:p>
    <w:p>
      <w:r>
        <w:t>Nx monorepos are a strong first target because they provide project graph structure, but Foundry must also support polyrepos and partially defined ecosystems.</w:t>
      </w:r>
    </w:p>
    <w:p>
      <w:pPr>
        <w:pStyle w:val="Heading2"/>
      </w:pPr>
      <w:r>
        <w:t>The knowledge plane</w:t>
      </w:r>
    </w:p>
    <w:p>
      <w:r>
        <w:t>The knowledge plane should manage domain packs, framework packs, platform packs, principle packs, skill seeds, and fix-memory records. Its ingestion path should be versioned, normalized, and graph-linked.</w:t>
      </w:r>
    </w:p>
    <w:p>
      <w:r>
        <w:br w:type="page"/>
      </w:r>
    </w:p>
    <w:p>
      <w:pPr>
        <w:pStyle w:val="Heading1"/>
      </w:pPr>
      <w:r>
        <w:t>Part IV — Runtime Integration Strategy</w:t>
      </w:r>
    </w:p>
    <w:p>
      <w:pPr>
        <w:pStyle w:val="Heading2"/>
      </w:pPr>
      <w:r>
        <w:t>MCP as the interoperability spine</w:t>
      </w:r>
    </w:p>
    <w:p>
      <w:r>
        <w:t>MCP is the best connective tissue because it standardizes tools, resources, and prompts over a common host/server contract, letting Foundry expose consistent capabilities to multiple runtimes.</w:t>
      </w:r>
    </w:p>
    <w:p>
      <w:pPr>
        <w:pStyle w:val="Heading2"/>
      </w:pPr>
      <w:r>
        <w:t>Ralph's correct role</w:t>
      </w:r>
    </w:p>
    <w:p>
      <w:r>
        <w:t>Ralph is best below the executable-shard boundary as a repeated, fresh-context execution loop, not as the top-level requirement compiler.</w:t>
      </w:r>
    </w:p>
    <w:p>
      <w:pPr>
        <w:pStyle w:val="Heading2"/>
      </w:pPr>
      <w:r>
        <w:t>Claude Code's role</w:t>
      </w:r>
    </w:p>
    <w:p>
      <w:r>
        <w:t>Claude Code is a high-context planning and review runtime, particularly strong for subagent-based architect, adversary, and verifier roles.</w:t>
      </w:r>
    </w:p>
    <w:p>
      <w:pPr>
        <w:pStyle w:val="Heading2"/>
      </w:pPr>
      <w:r>
        <w:t>Cursor's role</w:t>
      </w:r>
    </w:p>
    <w:p>
      <w:r>
        <w:t>Cursor is the strongest current operator cockpit because it combines IDE-native context, rules, and background-agent patterns that fit the visual-to-code experience.</w:t>
      </w:r>
    </w:p>
    <w:p>
      <w:pPr>
        <w:pStyle w:val="Heading2"/>
      </w:pPr>
      <w:r>
        <w:t>Codex's role</w:t>
      </w:r>
    </w:p>
    <w:p>
      <w:r>
        <w:t>Codex is the disciplined bounded executor and verifier lane when approvals, sandboxing, and replayable work envelopes matter.</w:t>
      </w:r>
    </w:p>
    <w:p>
      <w:pPr>
        <w:pStyle w:val="Heading2"/>
      </w:pPr>
      <w:r>
        <w:t>OpenClaw's role</w:t>
      </w:r>
    </w:p>
    <w:p>
      <w:r>
        <w:t>OpenClaw should be treated as an optional plugin runtime behind the same adapter contract rather than as the center of the architecture.</w:t>
      </w:r>
    </w:p>
    <w:p>
      <w:r>
        <w:br w:type="page"/>
      </w:r>
    </w:p>
    <w:p>
      <w:pPr>
        <w:pStyle w:val="Heading1"/>
      </w:pPr>
      <w:r>
        <w:t>Part V — Model Investigation</w:t>
      </w:r>
    </w:p>
    <w:p>
      <w:pPr>
        <w:pStyle w:val="Heading2"/>
      </w:pPr>
      <w:r>
        <w:t>The model lanes you need</w:t>
      </w:r>
    </w:p>
    <w:p>
      <w:r>
        <w:t>The conversation established that a single best model is the wrong target. The architecture needs distinct lanes for specification, multimodal UI work, deterministic execution, adversarial review, and verification.</w:t>
      </w:r>
    </w:p>
    <w:p>
      <w:pPr>
        <w:pStyle w:val="Heading2"/>
      </w:pPr>
      <w:r>
        <w:t>Qwen</w:t>
      </w:r>
    </w:p>
    <w:p>
      <w:r>
        <w:t>The verified current public line is Qwen3 and Qwen3-Coder rather than a confirmed official Qwen 3.5 release. Qwen3-Coder is the natural low-cost local execution lane.</w:t>
      </w:r>
    </w:p>
    <w:p>
      <w:pPr>
        <w:pStyle w:val="Heading2"/>
      </w:pPr>
      <w:r>
        <w:t>Kimi K2.5</w:t>
      </w:r>
    </w:p>
    <w:p>
      <w:r>
        <w:t>Kimi K2.5 is the strongest fit for visual coding, multimodal UI interpretation, and agent-swarm style specialist work.</w:t>
      </w:r>
    </w:p>
    <w:p>
      <w:pPr>
        <w:pStyle w:val="Heading2"/>
      </w:pPr>
      <w:r>
        <w:t>MiniMax M2.5</w:t>
      </w:r>
    </w:p>
    <w:p>
      <w:r>
        <w:t>MiniMax M2.5 is the strongest upstream specification lane because its public positioning aligns with coding, tool use, and specification-oriented output.</w:t>
      </w:r>
    </w:p>
    <w:p>
      <w:pPr>
        <w:pStyle w:val="Heading2"/>
      </w:pPr>
      <w:r>
        <w:t>Seed2.0</w:t>
      </w:r>
    </w:p>
    <w:p>
      <w:r>
        <w:t>Seed2.0 is a strong alternate multimodal lane useful for image-to-web-page and long-horizon multimodal agent tasks.</w:t>
      </w:r>
    </w:p>
    <w:p>
      <w:pPr>
        <w:pStyle w:val="Heading2"/>
      </w:pPr>
      <w:r>
        <w:t>HUMO AI</w:t>
      </w:r>
    </w:p>
    <w:p>
      <w:r>
        <w:t>HUMO AI is not recommended as a core coding or execution lane for the first implementation path.</w:t>
      </w:r>
    </w:p>
    <w:p>
      <w:r>
        <w:br w:type="page"/>
      </w:r>
    </w:p>
    <w:p>
      <w:pPr>
        <w:pStyle w:val="Heading1"/>
      </w:pPr>
      <w:r>
        <w:t>Part VI — The Visual-to-Code IDE</w:t>
      </w:r>
    </w:p>
    <w:p>
      <w:pPr>
        <w:pStyle w:val="Heading2"/>
      </w:pPr>
      <w:r>
        <w:t>The desired operator experience</w:t>
      </w:r>
    </w:p>
    <w:p>
      <w:r>
        <w:t>The desired IDE is a toggleable visual-to-code system: graph or diagram pane on one side, code pane on the other, mirrored focus in both directions, and explicit execution controls.</w:t>
      </w:r>
    </w:p>
    <w:p>
      <w:pPr>
        <w:pStyle w:val="Heading2"/>
      </w:pPr>
      <w:r>
        <w:t>Mirrored focus</w:t>
      </w:r>
    </w:p>
    <w:p>
      <w:r>
        <w:t>Clicking a system or component should focus the corresponding files, while clicking a file should highlight the corresponding nodes and the impact trail in the visual surface.</w:t>
      </w:r>
    </w:p>
    <w:p>
      <w:pPr>
        <w:pStyle w:val="Heading2"/>
      </w:pPr>
      <w:r>
        <w:t>Visual drill-down and drill-up</w:t>
      </w:r>
    </w:p>
    <w:p>
      <w:r>
        <w:t>Foundry should support both forward and backward navigation: requirement to system to component to function, and function or file back to route, flow, system, and requirement.</w:t>
      </w:r>
    </w:p>
    <w:p>
      <w:r>
        <w:br w:type="page"/>
      </w:r>
    </w:p>
    <w:p>
      <w:pPr>
        <w:pStyle w:val="Heading1"/>
      </w:pPr>
      <w:r>
        <w:t>Part VII — Consensus and Adversarial Review</w:t>
      </w:r>
    </w:p>
    <w:p>
      <w:pPr>
        <w:pStyle w:val="Heading2"/>
      </w:pPr>
      <w:r>
        <w:t>Why consensus cannot be naive voting</w:t>
      </w:r>
    </w:p>
    <w:p>
      <w:r>
        <w:t>Multi-agent consensus should be structured by role, not by majority vote. The goal is convergence through challenge and evidence, not polling.</w:t>
      </w:r>
    </w:p>
    <w:p>
      <w:pPr>
        <w:pStyle w:val="Heading2"/>
      </w:pPr>
      <w:r>
        <w:t>The adversarial loop</w:t>
      </w:r>
    </w:p>
    <w:p>
      <w:r>
        <w:t>Before coding starts, Foundry should record a full review cycle: proposed design, adversarial critique, blast-radius expansion, verification strategy, and approval outcome.</w:t>
      </w:r>
    </w:p>
    <w:p>
      <w:r>
        <w:br w:type="page"/>
      </w:r>
    </w:p>
    <w:p>
      <w:pPr>
        <w:pStyle w:val="Heading1"/>
      </w:pPr>
      <w:r>
        <w:t>Part VIII — Local Model and SSH-Tunneled Execution</w:t>
      </w:r>
    </w:p>
    <w:p>
      <w:pPr>
        <w:pStyle w:val="Heading2"/>
      </w:pPr>
      <w:r>
        <w:t>Why the low-cost lane matters</w:t>
      </w:r>
    </w:p>
    <w:p>
      <w:r>
        <w:t>The architecture only becomes economically powerful when deterministic work can be routed to a local or tunneled low-cost model after the design work has already been done upstream.</w:t>
      </w:r>
    </w:p>
    <w:p>
      <w:pPr>
        <w:pStyle w:val="Heading2"/>
      </w:pPr>
      <w:r>
        <w:t>The right pattern</w:t>
      </w:r>
    </w:p>
    <w:p>
      <w:r>
        <w:t>The recommended pattern is a remote OpenAI-compatible endpoint for Qwen3-Coder, exposed locally via SSH tunnel and normalized by a shared model-gateway abstraction.</w:t>
      </w:r>
    </w:p>
    <w:p>
      <w:r>
        <w:br w:type="page"/>
      </w:r>
    </w:p>
    <w:p>
      <w:pPr>
        <w:pStyle w:val="Heading1"/>
      </w:pPr>
      <w:r>
        <w:t>Part IX — Implementation Plan</w:t>
      </w:r>
    </w:p>
    <w:p>
      <w:pPr>
        <w:pStyle w:val="Heading2"/>
      </w:pPr>
      <w:r>
        <w:t>The immediate sequence</w:t>
      </w:r>
    </w:p>
    <w:p>
      <w:r>
        <w:t>The immediate build order is: provider registry, model gateway, role policy, consensus orchestration, Cursor-first visual-to-code slice, local Qwen3-Coder lane, and a second multimodal lane.</w:t>
      </w:r>
    </w:p>
    <w:p>
      <w:pPr>
        <w:pStyle w:val="Heading2"/>
      </w:pPr>
      <w:r>
        <w:t>What success looks like</w:t>
      </w:r>
    </w:p>
    <w:p>
      <w:r>
        <w:t>The architecture is working when requirements become executable PRD shards, the visual and code panes remain in sync, blast radius catches sibling behavior before coding, verification is independent, and learnings are promoted into rule or memory artifacts.</w:t>
      </w:r>
    </w:p>
    <w:p>
      <w:r>
        <w:br w:type="page"/>
      </w:r>
    </w:p>
    <w:p>
      <w:pPr>
        <w:pStyle w:val="Heading1"/>
      </w:pPr>
      <w:r>
        <w:t>Part X — Risks, Open Questions, and Sources</w:t>
      </w:r>
    </w:p>
    <w:p>
      <w:pPr>
        <w:pStyle w:val="Heading2"/>
      </w:pPr>
      <w:r>
        <w:t>Expired inputs</w:t>
      </w:r>
    </w:p>
    <w:p>
      <w:r>
        <w:t>Some earlier uploads expired before regeneration. This book therefore reconstructs those sections from the surviving material and the design record already established in the conversation.</w:t>
      </w:r>
    </w:p>
    <w:p>
      <w:pPr>
        <w:pStyle w:val="Heading2"/>
      </w:pPr>
      <w:r>
        <w:t>Open questions for the next pass</w:t>
      </w:r>
    </w:p>
    <w:p>
      <w:r>
        <w:t>Key open questions remain around first runtime priority, visual pane technology, provider fallback ordering, mandatory day-one knowledge domains, and auto-approval aggressiveness.</w:t>
      </w:r>
    </w:p>
    <w:p>
      <w:pPr>
        <w:pStyle w:val="Heading2"/>
      </w:pPr>
      <w:r>
        <w:t>Sources</w:t>
      </w:r>
    </w:p>
    <w:p>
      <w:r>
        <w:t>The package includes a separate source register with surviving uploads, official model and runtime docs, and the user-supplied inspiration links noted separately from the core evidence set.</w:t>
      </w:r>
    </w:p>
    <w:p>
      <w:r>
        <w:br w:type="page"/>
      </w:r>
    </w:p>
    <w:p>
      <w:pPr>
        <w:pStyle w:val="Heading1"/>
      </w:pPr>
      <w:r>
        <w:t>Appendix A — Recommended first-wave model stack</w:t>
      </w:r>
    </w:p>
    <w:p>
      <w:pPr>
        <w:pStyle w:val="ListBullet"/>
      </w:pPr>
      <w:r>
        <w:t>Qwen3-Coder for local or SSH-tunneled low-cost execution</w:t>
      </w:r>
    </w:p>
    <w:p>
      <w:pPr>
        <w:pStyle w:val="ListBullet"/>
      </w:pPr>
      <w:r>
        <w:t>MiniMax M2.5 for specification, architecture, and decomposition</w:t>
      </w:r>
    </w:p>
    <w:p>
      <w:pPr>
        <w:pStyle w:val="ListBullet"/>
      </w:pPr>
      <w:r>
        <w:t>Kimi K2.5 for multimodal UI, image-to-code, and swarm-style specialist work</w:t>
      </w:r>
    </w:p>
    <w:p>
      <w:pPr>
        <w:pStyle w:val="ListBullet"/>
      </w:pPr>
      <w:r>
        <w:t>Seed2.0 as an alternate multimodal lane</w:t>
      </w:r>
    </w:p>
    <w:p>
      <w:pPr>
        <w:pStyle w:val="ListBullet"/>
      </w:pPr>
      <w:r>
        <w:t>Separate verifier lane using a different provider from the builder</w:t>
      </w:r>
    </w:p>
    <w:p>
      <w:pPr>
        <w:pStyle w:val="Heading1"/>
      </w:pPr>
      <w:r>
        <w:t>Appendix B — Source register note</w:t>
      </w:r>
    </w:p>
    <w:p>
      <w:r>
        <w:t>A full source register is included in the companion markdown file `05_sources_and_evidence_register.md`.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