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80"/>
        <w:jc w:val="center"/>
      </w:pPr>
      <w:r>
        <w:rPr>
          <w:rFonts w:ascii="Arial" w:cs="Arial" w:eastAsia="Arial" w:hAnsi="Arial"/>
          <w:b/>
          <w:bCs/>
          <w:color w:val="1F3864"/>
          <w:sz w:val="32"/>
          <w:szCs w:val="32"/>
        </w:rPr>
        <w:t xml:space="preserve">TECHNICAL PROJECT DOCUMENTATION</w:t>
      </w:r>
    </w:p>
    <w:p>
      <w:pPr>
        <w:spacing w:after="0" w:before="200"/>
      </w:pPr>
    </w:p>
    <w:p>
      <w:pPr>
        <w:spacing w:after="80" w:before="80"/>
        <w:jc w:val="center"/>
      </w:pPr>
      <w:r>
        <w:rPr>
          <w:rFonts w:ascii="Arial" w:cs="Arial" w:eastAsia="Arial" w:hAnsi="Arial"/>
          <w:b/>
          <w:bCs/>
          <w:color w:val="2E75B6"/>
          <w:sz w:val="28"/>
          <w:szCs w:val="28"/>
        </w:rPr>
        <w:t xml:space="preserve">LaTeX OCR and PDF Generation Web Application</w:t>
      </w:r>
    </w:p>
    <w:p>
      <w:pPr>
        <w:spacing w:after="0" w:before="160"/>
      </w:pPr>
    </w:p>
    <w:p>
      <w:pPr>
        <w:spacing w:after="80" w:before="80"/>
        <w:jc w:val="center"/>
      </w:pPr>
      <w:r>
        <w:rPr>
          <w:rFonts w:ascii="Arial" w:cs="Arial" w:eastAsia="Arial" w:hAnsi="Arial"/>
          <w:b w:val="false"/>
          <w:bCs w:val="false"/>
          <w:color w:val="404040"/>
          <w:sz w:val="22"/>
          <w:szCs w:val="22"/>
        </w:rPr>
        <w:t xml:space="preserve">A Browser-Based System for Optical Character Recognition of Handwritten</w:t>
      </w:r>
    </w:p>
    <w:p>
      <w:pPr>
        <w:spacing w:after="80" w:before="80"/>
        <w:jc w:val="center"/>
      </w:pPr>
      <w:r>
        <w:rPr>
          <w:rFonts w:ascii="Arial" w:cs="Arial" w:eastAsia="Arial" w:hAnsi="Arial"/>
          <w:b w:val="false"/>
          <w:bCs w:val="false"/>
          <w:color w:val="404040"/>
          <w:sz w:val="22"/>
          <w:szCs w:val="22"/>
        </w:rPr>
        <w:t xml:space="preserve">LaTeX Expressions and Cloud-Delegated PDF Compilation</w:t>
      </w:r>
    </w:p>
    <w:p>
      <w:pPr>
        <w:spacing w:after="0" w:before="400"/>
      </w:pPr>
    </w:p>
    <w:p>
      <w:pPr>
        <w:pBdr>
          <w:bottom w:val="single" w:color="2E75B6" w:sz="6" w:space="1"/>
        </w:pBdr>
        <w:spacing w:after="100" w:before="100"/>
      </w:pPr>
    </w:p>
    <w:p>
      <w:pPr>
        <w:spacing w:after="0" w:before="200"/>
      </w:pPr>
    </w:p>
    <w:p>
      <w:pPr>
        <w:spacing w:after="80" w:before="80"/>
        <w:jc w:val="center"/>
      </w:pPr>
      <w:r>
        <w:rPr>
          <w:rFonts w:ascii="Arial" w:cs="Arial" w:eastAsia="Arial" w:hAnsi="Arial"/>
          <w:b w:val="false"/>
          <w:bCs w:val="false"/>
          <w:color w:val="404040"/>
          <w:sz w:val="22"/>
          <w:szCs w:val="22"/>
        </w:rPr>
        <w:t xml:space="preserve">Project Domain: Educational Technology / Scientific Typesetting</w:t>
      </w:r>
    </w:p>
    <w:p>
      <w:pPr>
        <w:spacing w:after="80" w:before="80"/>
        <w:jc w:val="center"/>
      </w:pPr>
      <w:r>
        <w:rPr>
          <w:rFonts w:ascii="Arial" w:cs="Arial" w:eastAsia="Arial" w:hAnsi="Arial"/>
          <w:b w:val="false"/>
          <w:bCs w:val="false"/>
          <w:color w:val="404040"/>
          <w:sz w:val="22"/>
          <w:szCs w:val="22"/>
        </w:rPr>
        <w:t xml:space="preserve">Intended User Group: Undergraduate and Postgraduate Students</w:t>
      </w:r>
    </w:p>
    <w:p>
      <w:pPr>
        <w:spacing w:after="80" w:before="80"/>
        <w:jc w:val="center"/>
      </w:pPr>
      <w:r>
        <w:rPr>
          <w:rFonts w:ascii="Arial" w:cs="Arial" w:eastAsia="Arial" w:hAnsi="Arial"/>
          <w:b w:val="false"/>
          <w:bCs w:val="false"/>
          <w:color w:val="404040"/>
          <w:sz w:val="22"/>
          <w:szCs w:val="22"/>
        </w:rPr>
        <w:t xml:space="preserve">in Under-Resourced or Shared Computing Environments</w:t>
      </w:r>
    </w:p>
    <w:p>
      <w:pPr>
        <w:spacing w:after="0" w:before="200"/>
      </w:pPr>
    </w:p>
    <w:p>
      <w:pPr>
        <w:pBdr>
          <w:bottom w:val="single" w:color="2E75B6" w:sz="6" w:space="1"/>
        </w:pBdr>
        <w:spacing w:after="100" w:before="100"/>
      </w:pPr>
    </w:p>
    <w:p>
      <w:pPr>
        <w:spacing w:after="0" w:before="400"/>
      </w:pPr>
    </w:p>
    <w:p>
      <w:pPr>
        <w:spacing w:after="80" w:before="80"/>
        <w:jc w:val="center"/>
      </w:pPr>
      <w:r>
        <w:rPr>
          <w:rFonts w:ascii="Arial" w:cs="Arial" w:eastAsia="Arial" w:hAnsi="Arial"/>
          <w:b w:val="false"/>
          <w:bCs w:val="false"/>
          <w:color w:val="666666"/>
          <w:sz w:val="20"/>
          <w:szCs w:val="20"/>
        </w:rPr>
        <w:t xml:space="preserve">Document Classification: Technical Project Report</w:t>
      </w:r>
    </w:p>
    <w:p>
      <w:pPr>
        <w:spacing w:after="80" w:before="80"/>
        <w:jc w:val="center"/>
      </w:pPr>
      <w:r>
        <w:rPr>
          <w:rFonts w:ascii="Arial" w:cs="Arial" w:eastAsia="Arial" w:hAnsi="Arial"/>
          <w:b w:val="false"/>
          <w:bCs w:val="false"/>
          <w:color w:val="666666"/>
          <w:sz w:val="20"/>
          <w:szCs w:val="20"/>
        </w:rPr>
        <w:t xml:space="preserve">Version: 1.0</w:t>
      </w:r>
    </w:p>
    <w:p>
      <w:pPr>
        <w:spacing w:after="80" w:before="80"/>
        <w:jc w:val="center"/>
      </w:pPr>
      <w:r>
        <w:rPr>
          <w:rFonts w:ascii="Arial" w:cs="Arial" w:eastAsia="Arial" w:hAnsi="Arial"/>
          <w:b w:val="false"/>
          <w:bCs w:val="false"/>
          <w:color w:val="666666"/>
          <w:sz w:val="20"/>
          <w:szCs w:val="20"/>
        </w:rPr>
        <w:t xml:space="preserve">Repository: latex_app-main</w:t>
      </w:r>
    </w:p>
    <w:p>
      <w:r>
        <w:br w:type="page"/>
      </w:r>
    </w:p>
    <w:p>
      <w:pPr>
        <w:pStyle w:val="Heading1"/>
        <w:spacing w:after="200" w:before="400"/>
      </w:pPr>
      <w:r>
        <w:rPr>
          <w:rFonts w:ascii="Arial" w:cs="Arial" w:eastAsia="Arial" w:hAnsi="Arial"/>
          <w:b/>
          <w:bCs/>
          <w:sz w:val="32"/>
          <w:szCs w:val="32"/>
        </w:rPr>
        <w:t xml:space="preserve">Abstract</w:t>
      </w:r>
    </w:p>
    <w:p>
      <w:pPr>
        <w:spacing w:after="80" w:before="80" w:line="320"/>
        <w:jc w:val="both"/>
      </w:pPr>
      <w:r>
        <w:rPr>
          <w:rFonts w:ascii="Arial" w:cs="Arial" w:eastAsia="Arial" w:hAnsi="Arial"/>
          <w:b w:val="false"/>
          <w:bCs w:val="false"/>
          <w:i w:val="false"/>
          <w:iCs w:val="false"/>
          <w:color w:val="000000"/>
          <w:sz w:val="22"/>
          <w:szCs w:val="22"/>
        </w:rPr>
        <w:t xml:space="preserve">This document presents a comprehensive technical analysis of a full-stack web application designed to assist students in academic institutions who lack access to adequately configured local computing environments for LaTeX typesetting. The application addresses a specific and practically important problem: students working in college computer laboratories, on shared institutional machines, or on personal devices with restricted administrative privileges cannot install or maintain a local TeX distribution, yet are routinely expected to produce LaTeX-formatted documents for coursework, research reports, and thesis submissions. The proposed system eliminates this constraint by providing a browser-based pipeline that accepts an image of handwritten or printed LaTeX source code, performs optical character recognition using either the Tesseract OCR engine or the Groq-hosted Llama 4 Scout vision model, extracts the LaTeX markup, applies a suite of static analysis and sanitisation checks, and delegates the PDF compilation task either to a locally available pdflatex installation (on Windows development hosts) or to the external YtoTech LaTeX compilation service (on Linux-based deployment targets). The resulting PDF is returned to the browser, rendered inline using a canvas-based viewer built atop the PDF.js library, and optionally persisted to a Supabase-managed storage bucket with a corresponding database record linked to the authenticated user. The system is implemented as a Next.js 15 frontend communicating with a FastAPI Python backend, with Supabase providing authentication via Google OAuth and cloud storage. The report documents the architecture, component behaviour, data flow, security posture, and limitations of the system in sufficient detail to support academic evaluation, deployment planning, and future extension.</w:t>
      </w:r>
    </w:p>
    <w:p>
      <w:r>
        <w:br w:type="page"/>
      </w:r>
    </w:p>
    <w:p>
      <w:pPr>
        <w:pStyle w:val="Heading1"/>
        <w:spacing w:after="200" w:before="400"/>
      </w:pPr>
      <w:r>
        <w:rPr>
          <w:rFonts w:ascii="Arial" w:cs="Arial" w:eastAsia="Arial" w:hAnsi="Arial"/>
          <w:b/>
          <w:bCs/>
          <w:sz w:val="32"/>
          <w:szCs w:val="32"/>
        </w:rPr>
        <w:t xml:space="preserve">1. Introduction</w:t>
      </w:r>
    </w:p>
    <w:p>
      <w:pPr>
        <w:pStyle w:val="Heading2"/>
        <w:spacing w:after="150" w:before="300"/>
      </w:pPr>
      <w:r>
        <w:rPr>
          <w:rFonts w:ascii="Arial" w:cs="Arial" w:eastAsia="Arial" w:hAnsi="Arial"/>
          <w:b/>
          <w:bCs/>
          <w:sz w:val="26"/>
          <w:szCs w:val="26"/>
        </w:rPr>
        <w:t xml:space="preserve">1.1 Background</w:t>
      </w:r>
    </w:p>
    <w:p>
      <w:pPr>
        <w:spacing w:after="80" w:before="80" w:line="320"/>
        <w:jc w:val="both"/>
      </w:pPr>
      <w:r>
        <w:rPr>
          <w:rFonts w:ascii="Arial" w:cs="Arial" w:eastAsia="Arial" w:hAnsi="Arial"/>
          <w:b w:val="false"/>
          <w:bCs w:val="false"/>
          <w:i w:val="false"/>
          <w:iCs w:val="false"/>
          <w:color w:val="000000"/>
          <w:sz w:val="22"/>
          <w:szCs w:val="22"/>
        </w:rPr>
        <w:t xml:space="preserve">LaTeX is the dominant document preparation system in scientific and academic publishing. It is the mandated submission format for most peer-reviewed journals in mathematics, physics, computer science, and engineering, and it is widely expected in thesis and dissertation submissions across universities globally. Despite its ubiquity in academic output, LaTeX presents a significant entry barrier to students who have not previously encountered it. The language is verbose, structurally strict, and sensitive to the presence or absence of correctly installed packages. A typical LaTeX distribution — such as TeX Live on Linux or MiKTeX on Windows — occupies between two and five gigabytes of disk space in a usable configuration and requires administrative access to install.</w:t>
      </w:r>
    </w:p>
    <w:p>
      <w:pPr>
        <w:spacing w:after="80" w:before="80" w:line="320"/>
        <w:jc w:val="both"/>
      </w:pPr>
      <w:r>
        <w:rPr>
          <w:rFonts w:ascii="Arial" w:cs="Arial" w:eastAsia="Arial" w:hAnsi="Arial"/>
          <w:b w:val="false"/>
          <w:bCs w:val="false"/>
          <w:i w:val="false"/>
          <w:iCs w:val="false"/>
          <w:color w:val="000000"/>
          <w:sz w:val="22"/>
          <w:szCs w:val="22"/>
        </w:rPr>
        <w:t xml:space="preserve">This creates a practical problem for students in many Indian college and university settings, and indeed in comparable institutions internationally, where students share terminal rooms, use locked-down institutional computers, or rely on low-specification personal devices. Even in cases where a partial LaTeX distribution is available on a shared machine, it is common for critical packages to be missing, for the Tesseract OCR system to be absent, or for the machine's performance to make interactive compilation impractical. Students attempting to learn LaTeX under these conditions are frequently unable to move from a handwritten equation or diagram annotation to a rendered PDF without physical access to a correctly configured personal system.</w:t>
      </w:r>
    </w:p>
    <w:p>
      <w:pPr>
        <w:pStyle w:val="Heading2"/>
        <w:spacing w:after="150" w:before="300"/>
      </w:pPr>
      <w:r>
        <w:rPr>
          <w:rFonts w:ascii="Arial" w:cs="Arial" w:eastAsia="Arial" w:hAnsi="Arial"/>
          <w:b/>
          <w:bCs/>
          <w:sz w:val="26"/>
          <w:szCs w:val="26"/>
        </w:rPr>
        <w:t xml:space="preserve">1.2 Motivation for a Browser-Based Approach</w:t>
      </w:r>
    </w:p>
    <w:p>
      <w:pPr>
        <w:spacing w:after="80" w:before="80" w:line="320"/>
        <w:jc w:val="both"/>
      </w:pPr>
      <w:r>
        <w:rPr>
          <w:rFonts w:ascii="Arial" w:cs="Arial" w:eastAsia="Arial" w:hAnsi="Arial"/>
          <w:b w:val="false"/>
          <w:bCs w:val="false"/>
          <w:i w:val="false"/>
          <w:iCs w:val="false"/>
          <w:color w:val="000000"/>
          <w:sz w:val="22"/>
          <w:szCs w:val="22"/>
        </w:rPr>
        <w:t xml:space="preserve">A browser-based solution eliminates the dependency on local toolchain installation entirely. If the application is hosted on a publicly accessible server, any student with network connectivity and a web browser — including those using shared college systems, smartphones, or lightweight tablets — can photograph their handwritten LaTeX, upload it, and receive a rendered PDF. This dramatically reduces the setup friction that currently prevents many students from experimenting with and learning LaTeX during the early stages of their academic careers. The additional provision of an inline PDF preview, a syntax-aware error display, and a persistent history of prior conversions means the application functions as a lightweight educational environment in its own right, suitable for iterative learning.</w:t>
      </w:r>
    </w:p>
    <w:p>
      <w:pPr>
        <w:pStyle w:val="Heading1"/>
        <w:spacing w:after="200" w:before="400"/>
      </w:pPr>
      <w:r>
        <w:rPr>
          <w:rFonts w:ascii="Arial" w:cs="Arial" w:eastAsia="Arial" w:hAnsi="Arial"/>
          <w:b/>
          <w:bCs/>
          <w:sz w:val="32"/>
          <w:szCs w:val="32"/>
        </w:rPr>
        <w:t xml:space="preserve">2. Problem Statement</w:t>
      </w:r>
    </w:p>
    <w:p>
      <w:pPr>
        <w:spacing w:after="80" w:before="80" w:line="320"/>
        <w:jc w:val="both"/>
      </w:pPr>
      <w:r>
        <w:rPr>
          <w:rFonts w:ascii="Arial" w:cs="Arial" w:eastAsia="Arial" w:hAnsi="Arial"/>
          <w:b w:val="false"/>
          <w:bCs w:val="false"/>
          <w:i w:val="false"/>
          <w:iCs w:val="false"/>
          <w:color w:val="000000"/>
          <w:sz w:val="22"/>
          <w:szCs w:val="22"/>
        </w:rPr>
        <w:t xml:space="preserve">The problem this application solves is not merely one of convenience. For a significant proportion of students in resource-constrained academic environments, the absence of a functioning local LaTeX installation represents a genuine barrier to participation in technical coursework. A student who has written out a mathematical derivation by hand on paper — the standard mode of working during lectures, tutorials, or lab sessions — has no straightforward path to converting that handwritten content into a typeset document without either a functioning local LaTeX setup or access to an online service capable of accepting raw LaTeX source and returning a PDF.</w:t>
      </w:r>
    </w:p>
    <w:p>
      <w:pPr>
        <w:spacing w:after="80" w:before="80" w:line="320"/>
        <w:jc w:val="both"/>
      </w:pPr>
      <w:r>
        <w:rPr>
          <w:rFonts w:ascii="Arial" w:cs="Arial" w:eastAsia="Arial" w:hAnsi="Arial"/>
          <w:b w:val="false"/>
          <w:bCs w:val="false"/>
          <w:i w:val="false"/>
          <w:iCs w:val="false"/>
          <w:color w:val="000000"/>
          <w:sz w:val="22"/>
          <w:szCs w:val="22"/>
        </w:rPr>
        <w:t xml:space="preserve">Existing online LaTeX editors such as Overleaf address the compilation and hosting problem but require users to type their LaTeX source manually. They do not address the problem of extracting LaTeX from a photographed image. Standalone OCR tools exist but are not integrated with a compilation pipeline and do not provide a rendered preview. The application described in this report integrates OCR, extraction, sanitisation, compilation, and preview into a single coherent workflow, accessed entirely through the browser, requiring no local installation of any kind from the student.</w:t>
      </w:r>
    </w:p>
    <w:p>
      <w:pPr>
        <w:pStyle w:val="Heading1"/>
        <w:spacing w:after="200" w:before="400"/>
      </w:pPr>
      <w:r>
        <w:rPr>
          <w:rFonts w:ascii="Arial" w:cs="Arial" w:eastAsia="Arial" w:hAnsi="Arial"/>
          <w:b/>
          <w:bCs/>
          <w:sz w:val="32"/>
          <w:szCs w:val="32"/>
        </w:rPr>
        <w:t xml:space="preserve">3. Objectives</w:t>
      </w:r>
    </w:p>
    <w:p>
      <w:pPr>
        <w:pStyle w:val="Heading2"/>
        <w:spacing w:after="150" w:before="300"/>
      </w:pPr>
      <w:r>
        <w:rPr>
          <w:rFonts w:ascii="Arial" w:cs="Arial" w:eastAsia="Arial" w:hAnsi="Arial"/>
          <w:b/>
          <w:bCs/>
          <w:sz w:val="26"/>
          <w:szCs w:val="26"/>
        </w:rPr>
        <w:t xml:space="preserve">3.1 Primary Objectives</w:t>
      </w:r>
    </w:p>
    <w:p>
      <w:pPr>
        <w:spacing w:after="80" w:before="80" w:line="320"/>
        <w:jc w:val="both"/>
      </w:pPr>
      <w:r>
        <w:rPr>
          <w:rFonts w:ascii="Arial" w:cs="Arial" w:eastAsia="Arial" w:hAnsi="Arial"/>
          <w:b w:val="false"/>
          <w:bCs w:val="false"/>
          <w:i w:val="false"/>
          <w:iCs w:val="false"/>
          <w:color w:val="000000"/>
          <w:sz w:val="22"/>
          <w:szCs w:val="22"/>
        </w:rPr>
        <w:t xml:space="preserve">The primary objective of the system is to provide a functional end-to-end pipeline that accepts an image file containing handwritten or printed LaTeX code, extracts the LaTeX source via OCR, compiles it to a PDF document, and delivers the rendered PDF to the user without requiring any local software installation beyond a web browser. A secondary primary objective is to provide meaningful, line-referenced error and warning feedback when compilation fails or when the extracted code contains deprecated constructs, so that the system supports the student's understanding of LaTeX syntax rather than merely producing or failing to produce a PDF silently.</w:t>
      </w:r>
    </w:p>
    <w:p>
      <w:pPr>
        <w:pStyle w:val="Heading2"/>
        <w:spacing w:after="150" w:before="300"/>
      </w:pPr>
      <w:r>
        <w:rPr>
          <w:rFonts w:ascii="Arial" w:cs="Arial" w:eastAsia="Arial" w:hAnsi="Arial"/>
          <w:b/>
          <w:bCs/>
          <w:sz w:val="26"/>
          <w:szCs w:val="26"/>
        </w:rPr>
        <w:t xml:space="preserve">3.2 Secondary Objectives</w:t>
      </w:r>
    </w:p>
    <w:p>
      <w:pPr>
        <w:spacing w:after="80" w:before="80" w:line="320"/>
        <w:jc w:val="both"/>
      </w:pPr>
      <w:r>
        <w:rPr>
          <w:rFonts w:ascii="Arial" w:cs="Arial" w:eastAsia="Arial" w:hAnsi="Arial"/>
          <w:b w:val="false"/>
          <w:bCs w:val="false"/>
          <w:i w:val="false"/>
          <w:iCs w:val="false"/>
          <w:color w:val="000000"/>
          <w:sz w:val="22"/>
          <w:szCs w:val="22"/>
        </w:rPr>
        <w:t xml:space="preserve">Secondary objectives include the provision of user authentication and persistent session history, so that authenticated students can retrieve previous conversions; the implementation of a rudimentary caching layer to avoid redundant compilation of identical LaTeX source; and the provision of a responsive, mobile-compatible interface that functions acceptably on the constrained displays typical of shared college terminals and smartphones. The system also aims to provide a camera-capture pathway for mobile users, allowing them to photograph handwritten notes directly from the upload interface rather than requiring a separate image capture step.</w:t>
      </w:r>
    </w:p>
    <w:p>
      <w:pPr>
        <w:pStyle w:val="Heading2"/>
        <w:spacing w:after="150" w:before="300"/>
      </w:pPr>
      <w:r>
        <w:rPr>
          <w:rFonts w:ascii="Arial" w:cs="Arial" w:eastAsia="Arial" w:hAnsi="Arial"/>
          <w:b/>
          <w:bCs/>
          <w:sz w:val="26"/>
          <w:szCs w:val="26"/>
        </w:rPr>
        <w:t xml:space="preserve">3.3 Educational Objectives</w:t>
      </w:r>
    </w:p>
    <w:p>
      <w:pPr>
        <w:spacing w:after="80" w:before="80" w:line="320"/>
        <w:jc w:val="both"/>
      </w:pPr>
      <w:r>
        <w:rPr>
          <w:rFonts w:ascii="Arial" w:cs="Arial" w:eastAsia="Arial" w:hAnsi="Arial"/>
          <w:b w:val="false"/>
          <w:bCs w:val="false"/>
          <w:i w:val="false"/>
          <w:iCs w:val="false"/>
          <w:color w:val="000000"/>
          <w:sz w:val="22"/>
          <w:szCs w:val="22"/>
        </w:rPr>
        <w:t xml:space="preserve">At the educational level, the system is intended to lower the practical threshold for LaTeX experimentation among students who are learning the language for the first time. By providing structured error output with line numbers and contextual code fragments, and by flagging the use of deprecated packages with recommended modern alternatives, the application functions as a gentle pedagogical tool. A student who receives a warning that their use of the 'graphics' package is deprecated in favour of 'graphicx', along with the line number on which the deprecated declaration appears, gains concrete knowledge about LaTeX best practice that a simple compilation failure would not convey.</w:t>
      </w:r>
    </w:p>
    <w:p>
      <w:pPr>
        <w:pStyle w:val="Heading1"/>
        <w:spacing w:after="200" w:before="400"/>
      </w:pPr>
      <w:r>
        <w:rPr>
          <w:rFonts w:ascii="Arial" w:cs="Arial" w:eastAsia="Arial" w:hAnsi="Arial"/>
          <w:b/>
          <w:bCs/>
          <w:sz w:val="32"/>
          <w:szCs w:val="32"/>
        </w:rPr>
        <w:t xml:space="preserve">4. Scope of the Project</w:t>
      </w:r>
    </w:p>
    <w:p>
      <w:pPr>
        <w:pStyle w:val="Heading2"/>
        <w:spacing w:after="150" w:before="300"/>
      </w:pPr>
      <w:r>
        <w:rPr>
          <w:rFonts w:ascii="Arial" w:cs="Arial" w:eastAsia="Arial" w:hAnsi="Arial"/>
          <w:b/>
          <w:bCs/>
          <w:sz w:val="26"/>
          <w:szCs w:val="26"/>
        </w:rPr>
        <w:t xml:space="preserve">4.1 What the System Does</w:t>
      </w:r>
    </w:p>
    <w:p>
      <w:pPr>
        <w:spacing w:after="80" w:before="80" w:line="320"/>
        <w:jc w:val="both"/>
      </w:pPr>
      <w:r>
        <w:rPr>
          <w:rFonts w:ascii="Arial" w:cs="Arial" w:eastAsia="Arial" w:hAnsi="Arial"/>
          <w:b w:val="false"/>
          <w:bCs w:val="false"/>
          <w:i w:val="false"/>
          <w:iCs w:val="false"/>
          <w:color w:val="000000"/>
          <w:sz w:val="22"/>
          <w:szCs w:val="22"/>
        </w:rPr>
        <w:t xml:space="preserve">The system accepts image files in JPEG, PNG, WEBP, or BMP format up to a maximum of 10 megabytes. It performs OCR on the uploaded image to extract LaTeX source text, optionally using a local Tesseract installation on Windows hosts or the Groq Llama 4 Scout vision model via the Groq API in all other deployment contexts. The extracted LaTeX code is presented to the user in an editable text area. The system then submits the code to a compilation pipeline that applies a static sanitisation filter, replaces embedded image references with visual placeholder boxes, and either compiles the document locally using pdflatex (Windows) or delegates the compilation to the YtoTech remote compilation service (Linux and cloud deployments). The resulting PDF is returned to the browser and rendered inline via a pdfjs-dist-powered canvas viewer with pagination, zoom, and pinch-to-zoom controls. Authenticated users may view, restore, or delete their conversion history, which is persisted in Supabase.</w:t>
      </w:r>
    </w:p>
    <w:p>
      <w:pPr>
        <w:pStyle w:val="Heading2"/>
        <w:spacing w:after="150" w:before="300"/>
      </w:pPr>
      <w:r>
        <w:rPr>
          <w:rFonts w:ascii="Arial" w:cs="Arial" w:eastAsia="Arial" w:hAnsi="Arial"/>
          <w:b/>
          <w:bCs/>
          <w:sz w:val="26"/>
          <w:szCs w:val="26"/>
        </w:rPr>
        <w:t xml:space="preserve">4.2 What the System Does Not Do</w:t>
      </w:r>
    </w:p>
    <w:p>
      <w:pPr>
        <w:spacing w:after="80" w:before="80" w:line="320"/>
        <w:jc w:val="both"/>
      </w:pPr>
      <w:r>
        <w:rPr>
          <w:rFonts w:ascii="Arial" w:cs="Arial" w:eastAsia="Arial" w:hAnsi="Arial"/>
          <w:b w:val="false"/>
          <w:bCs w:val="false"/>
          <w:i w:val="false"/>
          <w:iCs w:val="false"/>
          <w:color w:val="000000"/>
          <w:sz w:val="22"/>
          <w:szCs w:val="22"/>
        </w:rPr>
        <w:t xml:space="preserve">The system does not provide a local LaTeX editing environment comparable to Overleaf or TeXStudio. It does not support collaborative document editing, version control of LaTeX sources, or package management. It does not accept plain text LaTeX input directly (only via image upload, after which the user may edit the extracted text). It does not perform OCR on scanned multi-page PDF documents or on images that do not contain LaTeX syntax. The system does not guarantee compilation success when the OCR-extracted text contains recognition errors, as it imposes no post-OCR correction mechanism. In production (non-Windows) deployments, the system has no control over the availability of the external YtoTech compilation service and will fail if that service is unreachable.</w:t>
      </w:r>
    </w:p>
    <w:p>
      <w:pPr>
        <w:pStyle w:val="Heading2"/>
        <w:spacing w:after="150" w:before="300"/>
      </w:pPr>
      <w:r>
        <w:rPr>
          <w:rFonts w:ascii="Arial" w:cs="Arial" w:eastAsia="Arial" w:hAnsi="Arial"/>
          <w:b/>
          <w:bCs/>
          <w:sz w:val="26"/>
          <w:szCs w:val="26"/>
        </w:rPr>
        <w:t xml:space="preserve">4.3 Dependency and Connectivity Constraints</w:t>
      </w:r>
    </w:p>
    <w:p>
      <w:pPr>
        <w:spacing w:after="80" w:before="80" w:line="320"/>
        <w:jc w:val="both"/>
      </w:pPr>
      <w:r>
        <w:rPr>
          <w:rFonts w:ascii="Arial" w:cs="Arial" w:eastAsia="Arial" w:hAnsi="Arial"/>
          <w:b w:val="false"/>
          <w:bCs w:val="false"/>
          <w:i w:val="false"/>
          <w:iCs w:val="false"/>
          <w:color w:val="000000"/>
          <w:sz w:val="22"/>
          <w:szCs w:val="22"/>
        </w:rPr>
        <w:t xml:space="preserve">The system's core pipeline, specifically the Groq-based OCR and the YtoTech compilation service, are wholly dependent on external internet-accessible APIs. Deployment in an air-gapped or bandwidth-constrained environment will result in degraded or non-functional behaviour. The Supabase-dependent features — authentication and history — similarly require network access to the Supabase project endpoint. In offline or restricted network environments, the upload and compile flow itself may still function if the Windows code path with local Tesseract and local pdflatex is operative, but this configuration is explicitly identified in the codebase as the development-environment path, not the production path.</w:t>
      </w:r>
    </w:p>
    <w:p>
      <w:pPr>
        <w:pStyle w:val="Heading1"/>
        <w:spacing w:after="200" w:before="400"/>
      </w:pPr>
      <w:r>
        <w:rPr>
          <w:rFonts w:ascii="Arial" w:cs="Arial" w:eastAsia="Arial" w:hAnsi="Arial"/>
          <w:b/>
          <w:bCs/>
          <w:sz w:val="32"/>
          <w:szCs w:val="32"/>
        </w:rPr>
        <w:t xml:space="preserve">5. System Overview</w:t>
      </w:r>
    </w:p>
    <w:p>
      <w:pPr>
        <w:pStyle w:val="Heading2"/>
        <w:spacing w:after="150" w:before="300"/>
      </w:pPr>
      <w:r>
        <w:rPr>
          <w:rFonts w:ascii="Arial" w:cs="Arial" w:eastAsia="Arial" w:hAnsi="Arial"/>
          <w:b/>
          <w:bCs/>
          <w:sz w:val="26"/>
          <w:szCs w:val="26"/>
        </w:rPr>
        <w:t xml:space="preserve">5.1 End-to-End Workflow</w:t>
      </w:r>
    </w:p>
    <w:p>
      <w:pPr>
        <w:spacing w:after="80" w:before="80" w:line="320"/>
        <w:jc w:val="both"/>
      </w:pPr>
      <w:r>
        <w:rPr>
          <w:rFonts w:ascii="Arial" w:cs="Arial" w:eastAsia="Arial" w:hAnsi="Arial"/>
          <w:b w:val="false"/>
          <w:bCs w:val="false"/>
          <w:i w:val="false"/>
          <w:iCs w:val="false"/>
          <w:color w:val="000000"/>
          <w:sz w:val="22"/>
          <w:szCs w:val="22"/>
        </w:rPr>
        <w:t xml:space="preserve">The application workflow begins when a student navigates to the hosted Next.js frontend in a web browser. The student drags and drops an image file onto the upload zone, or uses the 'Upload File' button to select a file from their device's filesystem, or presses 'Take Photo' on a mobile device to invoke the device camera. In all cases the selected file is submitted via a multipart/form-data POST request to the FastAPI backend's /upload endpoint.</w:t>
      </w:r>
    </w:p>
    <w:p>
      <w:pPr>
        <w:spacing w:after="80" w:before="80" w:line="320"/>
        <w:jc w:val="both"/>
      </w:pPr>
      <w:r>
        <w:rPr>
          <w:rFonts w:ascii="Arial" w:cs="Arial" w:eastAsia="Arial" w:hAnsi="Arial"/>
          <w:b w:val="false"/>
          <w:bCs w:val="false"/>
          <w:i w:val="false"/>
          <w:iCs w:val="false"/>
          <w:color w:val="000000"/>
          <w:sz w:val="22"/>
          <w:szCs w:val="22"/>
        </w:rPr>
        <w:t xml:space="preserve">The backend validates the file's MIME type against a whitelist and checks its size against the 10 MB ceiling. It then invokes the auto_ocr() function, which on Windows hosts first assesses Tesseract confidence on the image and uses the Tesseract engine if confidence is at or above sixty percent, falling back to the Groq Llama 4 Scout vision model otherwise. On all non-Windows hosts, the Groq model is called unconditionally. The OCR result, along with the engine name and confidence score, is returned as JSON to the frontend.</w:t>
      </w:r>
    </w:p>
    <w:p>
      <w:pPr>
        <w:spacing w:after="80" w:before="80" w:line="320"/>
        <w:jc w:val="both"/>
      </w:pPr>
      <w:r>
        <w:rPr>
          <w:rFonts w:ascii="Arial" w:cs="Arial" w:eastAsia="Arial" w:hAnsi="Arial"/>
          <w:b w:val="false"/>
          <w:bCs w:val="false"/>
          <w:i w:val="false"/>
          <w:iCs w:val="false"/>
          <w:color w:val="000000"/>
          <w:sz w:val="22"/>
          <w:szCs w:val="22"/>
        </w:rPr>
        <w:t xml:space="preserve">The frontend receives the extracted LaTeX text and immediately triggers a compilation request by calling the /compile endpoint with the extracted code. Before compilation, the frontend allows the user to see and edit the LaTeX source in a monospace textarea. The /compile endpoint applies the sanitise_latex() check to block a set of dangerous LaTeX commands, calls check_outdated_packages() to generate pedagogical warnings, calls replace_images_with_placeholders() to substitute \includegraphics directives with visible placeholder boxes, and checks the in-memory cache for a prior result keyed by the MD5 hash of the processed LaTeX source. If a cache hit is found, the cached PDF bytes are returned immediately with an 'X-Cache: HIT' header. Otherwise, compilation is performed — either locally via pdflatex subprocess on Windows, or via an HTTP POST to the YtoTech LaTeX Online service on Linux. The PDF binary is cached and returned as a PDF MIME response with a base64-encoded JSON payload carrying any warnings in a custom HTTP response header.</w:t>
      </w:r>
    </w:p>
    <w:p>
      <w:pPr>
        <w:spacing w:after="80" w:before="80" w:line="320"/>
        <w:jc w:val="both"/>
      </w:pPr>
      <w:r>
        <w:rPr>
          <w:rFonts w:ascii="Arial" w:cs="Arial" w:eastAsia="Arial" w:hAnsi="Arial"/>
          <w:b w:val="false"/>
          <w:bCs w:val="false"/>
          <w:i w:val="false"/>
          <w:iCs w:val="false"/>
          <w:color w:val="000000"/>
          <w:sz w:val="22"/>
          <w:szCs w:val="22"/>
        </w:rPr>
        <w:t xml:space="preserve">The frontend receives the PDF binary as a Blob object, creates an object URL, and passes it to the PdfViewer component, which loads and renders the document using the pdfjs-dist library on an HTML canvas element. If the authenticated user has signed in via Google OAuth through Supabase, the PDF Blob and the LaTeX source are asynchronously uploaded to Supabase Storage and a row is inserted into the conversions database table, associating the conversion record with the user's Supabase identity.</w:t>
      </w:r>
    </w:p>
    <w:p>
      <w:pPr>
        <w:pStyle w:val="Heading2"/>
        <w:spacing w:after="150" w:before="300"/>
      </w:pPr>
      <w:r>
        <w:rPr>
          <w:rFonts w:ascii="Arial" w:cs="Arial" w:eastAsia="Arial" w:hAnsi="Arial"/>
          <w:b/>
          <w:bCs/>
          <w:sz w:val="26"/>
          <w:szCs w:val="26"/>
        </w:rPr>
        <w:t xml:space="preserve">5.2 High-Level Component Interaction</w:t>
      </w:r>
    </w:p>
    <w:p>
      <w:pPr>
        <w:spacing w:after="80" w:before="80" w:line="320"/>
        <w:jc w:val="both"/>
      </w:pPr>
      <w:r>
        <w:rPr>
          <w:rFonts w:ascii="Arial" w:cs="Arial" w:eastAsia="Arial" w:hAnsi="Arial"/>
          <w:b w:val="false"/>
          <w:bCs w:val="false"/>
          <w:i w:val="false"/>
          <w:iCs w:val="false"/>
          <w:color w:val="000000"/>
          <w:sz w:val="22"/>
          <w:szCs w:val="22"/>
        </w:rPr>
        <w:t xml:space="preserve">The system comprises four principal runtime components: the Next.js frontend application, the FastAPI Python backend service, the Groq API endpoint (external), the YtoTech LaTeX Online compilation service (external), and the Supabase platform (external). The frontend communicates with the backend over HTTP using a base URL supplied by the NEXT_PUBLIC_BACKEND_URL environment variable. The backend communicates with Groq using the groq Python SDK and with YtoTech using the httpx async HTTP client. The frontend communicates with Supabase directly from the browser using the @supabase/supabase-js client library, authenticated with the project's public anon key.</w:t>
      </w:r>
    </w:p>
    <w:p>
      <w:r>
        <w:br w:type="page"/>
      </w:r>
    </w:p>
    <w:p>
      <w:pPr>
        <w:pStyle w:val="Heading1"/>
        <w:spacing w:after="200" w:before="400"/>
      </w:pPr>
      <w:r>
        <w:rPr>
          <w:rFonts w:ascii="Arial" w:cs="Arial" w:eastAsia="Arial" w:hAnsi="Arial"/>
          <w:b/>
          <w:bCs/>
          <w:sz w:val="32"/>
          <w:szCs w:val="32"/>
        </w:rPr>
        <w:t xml:space="preserve">6. Technology Stack</w:t>
      </w:r>
    </w:p>
    <w:p>
      <w:pPr>
        <w:pStyle w:val="Heading2"/>
        <w:spacing w:after="150" w:before="300"/>
      </w:pPr>
      <w:r>
        <w:rPr>
          <w:rFonts w:ascii="Arial" w:cs="Arial" w:eastAsia="Arial" w:hAnsi="Arial"/>
          <w:b/>
          <w:bCs/>
          <w:sz w:val="26"/>
          <w:szCs w:val="26"/>
        </w:rPr>
        <w:t xml:space="preserve">6.1 Frontend Technologies</w:t>
      </w:r>
    </w:p>
    <w:p>
      <w:pPr>
        <w:spacing w:after="80" w:before="80" w:line="320"/>
        <w:jc w:val="both"/>
      </w:pPr>
      <w:r>
        <w:rPr>
          <w:rFonts w:ascii="Arial" w:cs="Arial" w:eastAsia="Arial" w:hAnsi="Arial"/>
          <w:b w:val="false"/>
          <w:bCs w:val="false"/>
          <w:i w:val="false"/>
          <w:iCs w:val="false"/>
          <w:color w:val="000000"/>
          <w:sz w:val="22"/>
          <w:szCs w:val="22"/>
        </w:rPr>
        <w:t xml:space="preserve">The frontend is implemented in TypeScript using Next.js 15 with the App Router. The user interface is styled exclusively with Tailwind CSS utility classes; no component library or CSS framework other than Tailwind is present. Icon components are sourced from the lucide-react package. The PDF rendering subsystem uses pdfjs-dist version 3.x, specifically loading the PDF.js worker from the Cloudflare CDN at version 3.11.174. The Supabase JavaScript client (@supabase/supabase-js) is used for all authentication and database interaction from the browser. The PdfViewer component is dynamically imported with server-side rendering disabled, as PDF.js requires a browser DOM and cannot execute in the Next.js server rendering environment.</w:t>
      </w:r>
    </w:p>
    <w:p>
      <w:pPr>
        <w:pStyle w:val="Heading2"/>
        <w:spacing w:after="150" w:before="300"/>
      </w:pPr>
      <w:r>
        <w:rPr>
          <w:rFonts w:ascii="Arial" w:cs="Arial" w:eastAsia="Arial" w:hAnsi="Arial"/>
          <w:b/>
          <w:bCs/>
          <w:sz w:val="26"/>
          <w:szCs w:val="26"/>
        </w:rPr>
        <w:t xml:space="preserve">6.2 Backend Technologies</w:t>
      </w:r>
    </w:p>
    <w:p>
      <w:pPr>
        <w:spacing w:after="80" w:before="80" w:line="320"/>
        <w:jc w:val="both"/>
      </w:pPr>
      <w:r>
        <w:rPr>
          <w:rFonts w:ascii="Arial" w:cs="Arial" w:eastAsia="Arial" w:hAnsi="Arial"/>
          <w:b w:val="false"/>
          <w:bCs w:val="false"/>
          <w:i w:val="false"/>
          <w:iCs w:val="false"/>
          <w:color w:val="000000"/>
          <w:sz w:val="22"/>
          <w:szCs w:val="22"/>
        </w:rPr>
        <w:t xml:space="preserve">The backend is a Python application built on FastAPI 0.135.1 with Uvicorn as the ASGI server. Image processing uses the Pillow library (pillow 12.1.1). OCR on Windows hosts uses pytesseract 0.3.13, which wraps the system Tesseract binary. Vision-based OCR uses the groq Python SDK (groq 1.1.1) to interact with the Groq API. HTTP calls to the YtoTech compilation service are made using httpx 0.28.1 in asynchronous mode. Environment variables are loaded using python-dotenv 1.2.2. On Windows, parallel execution of pdflatex and chktex is achieved using concurrent.futures.ThreadPoolExecutor. The OpenCV binding (opencv-python 4.13.0.92) and NumPy (2.4.3) are listed in the requirements.txt though they are not referenced in the authoritative backend/main.py source file, suggesting they were included speculatively or are remnants of an earlier prototype.</w:t>
      </w:r>
    </w:p>
    <w:p>
      <w:pPr>
        <w:pStyle w:val="Heading2"/>
        <w:spacing w:after="150" w:before="300"/>
      </w:pPr>
      <w:r>
        <w:rPr>
          <w:rFonts w:ascii="Arial" w:cs="Arial" w:eastAsia="Arial" w:hAnsi="Arial"/>
          <w:b/>
          <w:bCs/>
          <w:sz w:val="26"/>
          <w:szCs w:val="26"/>
        </w:rPr>
        <w:t xml:space="preserve">6.3 OCR and AI Services</w:t>
      </w:r>
    </w:p>
    <w:p>
      <w:pPr>
        <w:spacing w:after="80" w:before="80" w:line="320"/>
        <w:jc w:val="both"/>
      </w:pPr>
      <w:r>
        <w:rPr>
          <w:rFonts w:ascii="Arial" w:cs="Arial" w:eastAsia="Arial" w:hAnsi="Arial"/>
          <w:b w:val="false"/>
          <w:bCs w:val="false"/>
          <w:i w:val="false"/>
          <w:iCs w:val="false"/>
          <w:color w:val="000000"/>
          <w:sz w:val="22"/>
          <w:szCs w:val="22"/>
        </w:rPr>
        <w:t xml:space="preserve">Two OCR mechanisms are integrated. The first is the Tesseract Open Source OCR Engine, a mature and widely deployed system for extracting text from images. It is invoked through the pytesseract Python wrapper using OCR Engine Mode 3 (LSTM neural network) and Page Segmentation Mode 6 (uniform text block). The second is the Groq-hosted meta-llama/llama-4-scout-17b-16e-instruct vision model, which is a multimodal large language model capable of understanding image content and generating structured text output. The model is prompted to return only raw LaTeX source code with no additional commentary. The choice between engines is governed by platform detection and, on Windows, by a Tesseract confidence threshold of sixty percent.</w:t>
      </w:r>
    </w:p>
    <w:p>
      <w:pPr>
        <w:pStyle w:val="Heading2"/>
        <w:spacing w:after="150" w:before="300"/>
      </w:pPr>
      <w:r>
        <w:rPr>
          <w:rFonts w:ascii="Arial" w:cs="Arial" w:eastAsia="Arial" w:hAnsi="Arial"/>
          <w:b/>
          <w:bCs/>
          <w:sz w:val="26"/>
          <w:szCs w:val="26"/>
        </w:rPr>
        <w:t xml:space="preserve">6.4 Authentication and Storage Services</w:t>
      </w:r>
    </w:p>
    <w:p>
      <w:pPr>
        <w:spacing w:after="80" w:before="80" w:line="320"/>
        <w:jc w:val="both"/>
      </w:pPr>
      <w:r>
        <w:rPr>
          <w:rFonts w:ascii="Arial" w:cs="Arial" w:eastAsia="Arial" w:hAnsi="Arial"/>
          <w:b w:val="false"/>
          <w:bCs w:val="false"/>
          <w:i w:val="false"/>
          <w:iCs w:val="false"/>
          <w:color w:val="000000"/>
          <w:sz w:val="22"/>
          <w:szCs w:val="22"/>
        </w:rPr>
        <w:t xml:space="preserve">User authentication is provided by Supabase Auth using the Google OAuth 2.0 provider. PDF files generated for authenticated users are stored in a Supabase Storage bucket named 'pdfs', organised by user UUID. Conversion metadata is stored in a Supabase PostgreSQL table named 'conversions', containing at minimum the user_id, latex_code, pdf_url, and created_at columns. The frontend uses the Supabase anon key with Row Level Security assumed to be configured on the Supabase project, though no schema definition or migration files are present in the repository.</w:t>
      </w:r>
    </w:p>
    <w:p>
      <w:pPr>
        <w:pStyle w:val="Heading2"/>
        <w:spacing w:after="150" w:before="300"/>
      </w:pPr>
      <w:r>
        <w:rPr>
          <w:rFonts w:ascii="Arial" w:cs="Arial" w:eastAsia="Arial" w:hAnsi="Arial"/>
          <w:b/>
          <w:bCs/>
          <w:sz w:val="26"/>
          <w:szCs w:val="26"/>
        </w:rPr>
        <w:t xml:space="preserve">6.5 PDF Rendering</w:t>
      </w:r>
    </w:p>
    <w:p>
      <w:pPr>
        <w:spacing w:after="80" w:before="80" w:line="320"/>
        <w:jc w:val="both"/>
      </w:pPr>
      <w:r>
        <w:rPr>
          <w:rFonts w:ascii="Arial" w:cs="Arial" w:eastAsia="Arial" w:hAnsi="Arial"/>
          <w:b w:val="false"/>
          <w:bCs w:val="false"/>
          <w:i w:val="false"/>
          <w:iCs w:val="false"/>
          <w:color w:val="000000"/>
          <w:sz w:val="22"/>
          <w:szCs w:val="22"/>
        </w:rPr>
        <w:t xml:space="preserve">In-browser PDF rendering uses pdfjs-dist, the official NPM distribution of Mozilla's PDF.js library. The PDF document is rendered page-by-page onto an HTML canvas element, with support for pagination, zoom increment and decrement by 25% steps, a zoom range of 50% to 300%, automatic fitting to container width on load, a reset-to-fit button, and pinch-to-zoom gesture support on mobile touch screens. The worker script is loaded from the Cloudflare CDN rather than bundled with the application, requiring CDN connectivity at runtime.</w:t>
      </w:r>
    </w:p>
    <w:p>
      <w:pPr>
        <w:pStyle w:val="Heading2"/>
        <w:spacing w:after="150" w:before="300"/>
      </w:pPr>
      <w:r>
        <w:rPr>
          <w:rFonts w:ascii="Arial" w:cs="Arial" w:eastAsia="Arial" w:hAnsi="Arial"/>
          <w:b/>
          <w:bCs/>
          <w:sz w:val="26"/>
          <w:szCs w:val="26"/>
        </w:rPr>
        <w:t xml:space="preserve">6.6 Deployment and Runtime Assumptions</w:t>
      </w:r>
    </w:p>
    <w:p>
      <w:pPr>
        <w:spacing w:after="80" w:before="80" w:line="320"/>
        <w:jc w:val="both"/>
      </w:pPr>
      <w:r>
        <w:rPr>
          <w:rFonts w:ascii="Arial" w:cs="Arial" w:eastAsia="Arial" w:hAnsi="Arial"/>
          <w:b w:val="false"/>
          <w:bCs w:val="false"/>
          <w:i w:val="false"/>
          <w:iCs w:val="false"/>
          <w:color w:val="000000"/>
          <w:sz w:val="22"/>
          <w:szCs w:val="22"/>
        </w:rPr>
        <w:t xml:space="preserve">The build.sh script present in the repository root installs the apt system packages tesseract-ocr, texlive-latex-base, texlive-fonts-recommended, texlive-latex-extra, and chktex, and installs the Python dependencies from backend/requirements.txt. This script targets a Debian or Ubuntu Linux environment, consistent with cloud container deployment on platforms such as Render, Railway, or a generic VPS. On non-Windows systems, the installed pdflatex and chktex binaries are not used directly by the backend; pdflatex compilation is delegated to the YtoTech external service, and chktex is invoked only from within the Windows-specific code path. This represents a notable inconsistency: the build script installs a full LaTeX distribution that the Linux production path does not use.</w:t>
      </w:r>
    </w:p>
    <w:p>
      <w:r>
        <w:br w:type="page"/>
      </w:r>
    </w:p>
    <w:p>
      <w:pPr>
        <w:pStyle w:val="Heading1"/>
        <w:spacing w:after="200" w:before="400"/>
      </w:pPr>
      <w:r>
        <w:rPr>
          <w:rFonts w:ascii="Arial" w:cs="Arial" w:eastAsia="Arial" w:hAnsi="Arial"/>
          <w:b/>
          <w:bCs/>
          <w:sz w:val="32"/>
          <w:szCs w:val="32"/>
        </w:rPr>
        <w:t xml:space="preserve">7. Repository and File Structure Analysis</w:t>
      </w:r>
    </w:p>
    <w:p>
      <w:pPr>
        <w:pStyle w:val="Heading2"/>
        <w:spacing w:after="150" w:before="300"/>
      </w:pPr>
      <w:r>
        <w:rPr>
          <w:rFonts w:ascii="Arial" w:cs="Arial" w:eastAsia="Arial" w:hAnsi="Arial"/>
          <w:b/>
          <w:bCs/>
          <w:sz w:val="26"/>
          <w:szCs w:val="26"/>
        </w:rPr>
        <w:t xml:space="preserve">7.1 Authoritative Files</w:t>
      </w:r>
    </w:p>
    <w:p>
      <w:pPr>
        <w:spacing w:after="80" w:before="80" w:line="320"/>
        <w:jc w:val="both"/>
      </w:pPr>
      <w:r>
        <w:rPr>
          <w:rFonts w:ascii="Arial" w:cs="Arial" w:eastAsia="Arial" w:hAnsi="Arial"/>
          <w:b w:val="false"/>
          <w:bCs w:val="false"/>
          <w:i w:val="false"/>
          <w:iCs w:val="false"/>
          <w:color w:val="000000"/>
          <w:sz w:val="22"/>
          <w:szCs w:val="22"/>
        </w:rPr>
        <w:t xml:space="preserve">The repository root contains two Python backend files: backend/main.py and main.py. These are not identical. A diff of the two files reveals that backend/main.py is the authoritative and more complete implementation. It adds the Pillow, pytesseract, concurrent.futures, subprocess, tempfile, io, and platform imports absent from the root main.py. It additionally defines the Windows-specific Tesseract path configuration, the add_cors_on_error middleware, the get_tesseract_confidence() function, the check_latex_warnings() function, and the complete auto_ocr() routing logic. The root-level main.py contains only a subset of these features: it defines groq_ocr() instead of groq_vision_ocr(), lacks the Tesseract integration entirely, and lacks the chktex warning analysis. The root main.py should be treated as a legacy predecessor or development scratch file. All documentation and deployment references should target backend/main.py exclusively.</w:t>
      </w:r>
    </w:p>
    <w:p>
      <w:pPr>
        <w:spacing w:after="80" w:before="80" w:line="320"/>
        <w:jc w:val="both"/>
      </w:pPr>
      <w:r>
        <w:rPr>
          <w:rFonts w:ascii="Arial" w:cs="Arial" w:eastAsia="Arial" w:hAnsi="Arial"/>
          <w:b w:val="false"/>
          <w:bCs w:val="false"/>
          <w:i w:val="false"/>
          <w:iCs w:val="false"/>
          <w:color w:val="000000"/>
          <w:sz w:val="22"/>
          <w:szCs w:val="22"/>
        </w:rPr>
        <w:t xml:space="preserve">Similarly, the repository root contains a PdfViewer.tsx file that is an earlier version of the component now located at frontend/app/components/PdfViewer.tsx. The root-level copy is 238 lines long, while the authoritative nested version is 260 lines. The nested version adds the scroll-aware zoom logic that repositions the scroll container around the focal point during zoom operations, imports useCallback (though it does not use it in the final code), and refines certain expressions. The root-level PdfViewer.tsx is not referenced by any import in the Next.js application and should be considered a deprecated draft.</w:t>
      </w:r>
    </w:p>
    <w:p>
      <w:pPr>
        <w:pStyle w:val="Heading2"/>
        <w:spacing w:after="150" w:before="300"/>
      </w:pPr>
      <w:r>
        <w:rPr>
          <w:rFonts w:ascii="Arial" w:cs="Arial" w:eastAsia="Arial" w:hAnsi="Arial"/>
          <w:b/>
          <w:bCs/>
          <w:sz w:val="26"/>
          <w:szCs w:val="26"/>
        </w:rPr>
        <w:t xml:space="preserve">7.2 Orphaned and Extraneous Files</w:t>
      </w:r>
    </w:p>
    <w:p>
      <w:pPr>
        <w:spacing w:after="80" w:before="80" w:line="320"/>
        <w:jc w:val="both"/>
      </w:pPr>
      <w:r>
        <w:rPr>
          <w:rFonts w:ascii="Arial" w:cs="Arial" w:eastAsia="Arial" w:hAnsi="Arial"/>
          <w:b w:val="false"/>
          <w:bCs w:val="false"/>
          <w:i w:val="false"/>
          <w:iCs w:val="false"/>
          <w:color w:val="000000"/>
          <w:sz w:val="22"/>
          <w:szCs w:val="22"/>
        </w:rPr>
        <w:t xml:space="preserve">The repository root contains six image files: Screenshot 2026-03-17 211254.png, Test.jpeg, WhatsApp Image 2026-03-17 at 20.40.38.jpeg, WhatsApp Image 2026-03-17 at 21.40.47.jpeg, WhatsApp Image 2026-03-17 at 22.28.04.jpeg, adison.jpeg, khuraj.jpeg, latex.jpeg, and nelson.jpeg. These are test images used during development and were inadvertently committed to the repository. They have no runtime role and inflate the repository size substantially; latex.jpeg alone is approximately 125 KB. The repository also includes a committed node_modules directory containing the pdfjs-dist package and the @napi-rs/canvas Windows binary. Committing node_modules to a git repository is an anti-pattern; the pdfjs-dist package is a development artefact for local testing and should be declared in package.json and installed via npm install during deployment rather than committed directly. The @napi-rs/canvas package is not referenced in package.json and appears to be a remnant of an earlier approach to server-side canvas rendering.</w:t>
      </w:r>
    </w:p>
    <w:p>
      <w:pPr>
        <w:pStyle w:val="Heading2"/>
        <w:spacing w:after="150" w:before="300"/>
      </w:pPr>
      <w:r>
        <w:rPr>
          <w:rFonts w:ascii="Arial" w:cs="Arial" w:eastAsia="Arial" w:hAnsi="Arial"/>
          <w:b/>
          <w:bCs/>
          <w:sz w:val="26"/>
          <w:szCs w:val="26"/>
        </w:rPr>
        <w:t xml:space="preserve">7.3 Frontend Directory Structure</w:t>
      </w:r>
    </w:p>
    <w:p>
      <w:pPr>
        <w:spacing w:after="80" w:before="80" w:line="320"/>
        <w:jc w:val="both"/>
      </w:pPr>
      <w:r>
        <w:rPr>
          <w:rFonts w:ascii="Arial" w:cs="Arial" w:eastAsia="Arial" w:hAnsi="Arial"/>
          <w:b w:val="false"/>
          <w:bCs w:val="false"/>
          <w:i w:val="false"/>
          <w:iCs w:val="false"/>
          <w:color w:val="000000"/>
          <w:sz w:val="22"/>
          <w:szCs w:val="22"/>
        </w:rPr>
        <w:t xml:space="preserve">The authoritative frontend code resides entirely within the frontend/ directory. The Next.js App Router structure places the root page component at frontend/app/page.tsx, the shared layout at frontend/app/layout.tsx, global CSS at frontend/app/globals.css, and reusable components in frontend/app/components/. The three components are Auth.tsx, History.tsx, and PdfViewer.tsx. The Supabase client singleton is defined at frontend/lib/supabase.ts. The Next.js configuration at frontend/next.config.ts is minimal and contains no custom webpack configuration, rewrites, or redirects. The frontend package.json declares dependencies on next, react, react-dom, @supabase/supabase-js, lucide-react, and pdfjs-dist, with TypeScript, ESLint, and Tailwind CSS as development dependencies.</w:t>
      </w:r>
    </w:p>
    <w:p>
      <w:r>
        <w:br w:type="page"/>
      </w:r>
    </w:p>
    <w:p>
      <w:pPr>
        <w:pStyle w:val="Heading1"/>
        <w:spacing w:after="200" w:before="400"/>
      </w:pPr>
      <w:r>
        <w:rPr>
          <w:rFonts w:ascii="Arial" w:cs="Arial" w:eastAsia="Arial" w:hAnsi="Arial"/>
          <w:b/>
          <w:bCs/>
          <w:sz w:val="32"/>
          <w:szCs w:val="32"/>
        </w:rPr>
        <w:t xml:space="preserve">8. Frontend Architecture</w:t>
      </w:r>
    </w:p>
    <w:p>
      <w:pPr>
        <w:pStyle w:val="Heading2"/>
        <w:spacing w:after="150" w:before="300"/>
      </w:pPr>
      <w:r>
        <w:rPr>
          <w:rFonts w:ascii="Arial" w:cs="Arial" w:eastAsia="Arial" w:hAnsi="Arial"/>
          <w:b/>
          <w:bCs/>
          <w:sz w:val="26"/>
          <w:szCs w:val="26"/>
        </w:rPr>
        <w:t xml:space="preserve">8.1 Main Page Component (page.tsx)</w:t>
      </w:r>
    </w:p>
    <w:p>
      <w:pPr>
        <w:spacing w:after="80" w:before="80" w:line="320"/>
        <w:jc w:val="both"/>
      </w:pPr>
      <w:r>
        <w:rPr>
          <w:rFonts w:ascii="Arial" w:cs="Arial" w:eastAsia="Arial" w:hAnsi="Arial"/>
          <w:b w:val="false"/>
          <w:bCs w:val="false"/>
          <w:i w:val="false"/>
          <w:iCs w:val="false"/>
          <w:color w:val="000000"/>
          <w:sz w:val="22"/>
          <w:szCs w:val="22"/>
        </w:rPr>
        <w:t xml:space="preserve">The root page.tsx file is a single React client component that acts as the application controller. It is marked with the 'use client' directive, indicating that it is rendered entirely in the browser and not pre-rendered on the server, which is appropriate given its reliance on browser-only APIs such as URL.createObjectURL(), the File API, and the Supabase auth session. The component manages all primary application state using React's useState hook, maintaining the extracted LaTeX text, upload and compilation loading flags, the OCR engine name, structured error and warning arrays, the PDF object URL, the active tab, the current file name, a drag state flag, and the authenticated user object.</w:t>
      </w:r>
    </w:p>
    <w:p>
      <w:pPr>
        <w:pStyle w:val="Heading2"/>
        <w:spacing w:after="150" w:before="300"/>
      </w:pPr>
      <w:r>
        <w:rPr>
          <w:rFonts w:ascii="Arial" w:cs="Arial" w:eastAsia="Arial" w:hAnsi="Arial"/>
          <w:b/>
          <w:bCs/>
          <w:sz w:val="26"/>
          <w:szCs w:val="26"/>
        </w:rPr>
        <w:t xml:space="preserve">8.2 State Management</w:t>
      </w:r>
    </w:p>
    <w:p>
      <w:pPr>
        <w:spacing w:after="80" w:before="80" w:line="320"/>
        <w:jc w:val="both"/>
      </w:pPr>
      <w:r>
        <w:rPr>
          <w:rFonts w:ascii="Arial" w:cs="Arial" w:eastAsia="Arial" w:hAnsi="Arial"/>
          <w:b w:val="false"/>
          <w:bCs w:val="false"/>
          <w:i w:val="false"/>
          <w:iCs w:val="false"/>
          <w:color w:val="000000"/>
          <w:sz w:val="22"/>
          <w:szCs w:val="22"/>
        </w:rPr>
        <w:t xml:space="preserve">State management is flat and local to the page component. There is no global state management library such as Redux, Zustand, or React Context in use. This is appropriate for an application of this scope, though it means that child components such as History and Auth communicate exclusively through props — receiving the user object and callback functions from the parent. The absence of a context provider means that any future expansion of shared state across multiple pages or deeply nested components would require a refactoring of the state architecture.</w:t>
      </w:r>
    </w:p>
    <w:p>
      <w:pPr>
        <w:pStyle w:val="Heading2"/>
        <w:spacing w:after="150" w:before="300"/>
      </w:pPr>
      <w:r>
        <w:rPr>
          <w:rFonts w:ascii="Arial" w:cs="Arial" w:eastAsia="Arial" w:hAnsi="Arial"/>
          <w:b/>
          <w:bCs/>
          <w:sz w:val="26"/>
          <w:szCs w:val="26"/>
        </w:rPr>
        <w:t xml:space="preserve">8.3 Upload Flow</w:t>
      </w:r>
    </w:p>
    <w:p>
      <w:pPr>
        <w:spacing w:after="80" w:before="80" w:line="320"/>
        <w:jc w:val="both"/>
      </w:pPr>
      <w:r>
        <w:rPr>
          <w:rFonts w:ascii="Arial" w:cs="Arial" w:eastAsia="Arial" w:hAnsi="Arial"/>
          <w:b w:val="false"/>
          <w:bCs w:val="false"/>
          <w:i w:val="false"/>
          <w:iCs w:val="false"/>
          <w:color w:val="000000"/>
          <w:sz w:val="22"/>
          <w:szCs w:val="22"/>
        </w:rPr>
        <w:t xml:space="preserve">The upload flow is handled by the uploadImage() async function, which is bound to both the file input's onChange event and a synthetic event constructed during drag-and-drop. The drag-and-drop zone is implemented entirely within the main div element using the onDragOver, onDragEnter, onDragLeave, and onDrop handlers. A hidden file input element with id 'fileInput' handles standard file selection, while a second hidden input with id 'cameraInput' and the capture='environment' attribute provides the camera pathway on mobile devices. Both inputs accept image/* MIME types. The drag-and-drop handler reconstructs a synthetic ChangeEvent object to reuse the uploadImage() function, which is a workable approach but fragile in that it relies on the input shape matching what uploadImage() expects.</w:t>
      </w:r>
    </w:p>
    <w:p>
      <w:pPr>
        <w:spacing w:after="80" w:before="80" w:line="320"/>
        <w:jc w:val="both"/>
      </w:pPr>
      <w:r>
        <w:rPr>
          <w:rFonts w:ascii="Arial" w:cs="Arial" w:eastAsia="Arial" w:hAnsi="Arial"/>
          <w:b w:val="false"/>
          <w:bCs w:val="false"/>
          <w:i w:val="false"/>
          <w:iCs w:val="false"/>
          <w:color w:val="000000"/>
          <w:sz w:val="22"/>
          <w:szCs w:val="22"/>
        </w:rPr>
        <w:t xml:space="preserve">The upload function resets all prior state before proceeding, constructs a FormData object, and dispatches a POST request to the backend /upload endpoint. No client-side file type or size validation is performed before the upload; these checks are delegated entirely to the backend. On receipt of the OCR result, the function stores the engine name and extracted text, then immediately calls compile() with the extracted code without requiring a user action. This automatic compilation provides a smooth experience for valid images but means that a compilation request is always made even when OCR returns garbage or an empty string.</w:t>
      </w:r>
    </w:p>
    <w:p>
      <w:pPr>
        <w:pStyle w:val="Heading2"/>
        <w:spacing w:after="150" w:before="300"/>
      </w:pPr>
      <w:r>
        <w:rPr>
          <w:rFonts w:ascii="Arial" w:cs="Arial" w:eastAsia="Arial" w:hAnsi="Arial"/>
          <w:b/>
          <w:bCs/>
          <w:sz w:val="26"/>
          <w:szCs w:val="26"/>
        </w:rPr>
        <w:t xml:space="preserve">8.4 Error and Warning Display</w:t>
      </w:r>
    </w:p>
    <w:p>
      <w:pPr>
        <w:spacing w:after="80" w:before="80" w:line="320"/>
        <w:jc w:val="both"/>
      </w:pPr>
      <w:r>
        <w:rPr>
          <w:rFonts w:ascii="Arial" w:cs="Arial" w:eastAsia="Arial" w:hAnsi="Arial"/>
          <w:b w:val="false"/>
          <w:bCs w:val="false"/>
          <w:i w:val="false"/>
          <w:iCs w:val="false"/>
          <w:color w:val="000000"/>
          <w:sz w:val="22"/>
          <w:szCs w:val="22"/>
        </w:rPr>
        <w:t xml:space="preserve">Compilation errors are stored as an array of ErrorLine objects, each containing a message string, an optional line number, and an optional context fragment. This structure matches the format produced by the backend's parse_latex_errors() and check_outdated_packages() functions. Warnings are displayed in a yellow-toned panel within the LaTeX Code tab, while errors are displayed in a red-toned panel. Each entry includes a MapPin icon followed by the line number and a monospaced rendering of the context fragment. When errors or warnings are present, the active tab is automatically switched to the LaTeX Code tab to ensure the student sees the feedback immediately. The textarea border colour changes to red in the presence of errors and yellow in the presence of warnings.</w:t>
      </w:r>
    </w:p>
    <w:p>
      <w:pPr>
        <w:pStyle w:val="Heading2"/>
        <w:spacing w:after="150" w:before="300"/>
      </w:pPr>
      <w:r>
        <w:rPr>
          <w:rFonts w:ascii="Arial" w:cs="Arial" w:eastAsia="Arial" w:hAnsi="Arial"/>
          <w:b/>
          <w:bCs/>
          <w:sz w:val="26"/>
          <w:szCs w:val="26"/>
        </w:rPr>
        <w:t xml:space="preserve">8.5 Responsiveness and Mobile Usability</w:t>
      </w:r>
    </w:p>
    <w:p>
      <w:pPr>
        <w:spacing w:after="80" w:before="80" w:line="320"/>
        <w:jc w:val="both"/>
      </w:pPr>
      <w:r>
        <w:rPr>
          <w:rFonts w:ascii="Arial" w:cs="Arial" w:eastAsia="Arial" w:hAnsi="Arial"/>
          <w:b w:val="false"/>
          <w:bCs w:val="false"/>
          <w:i w:val="false"/>
          <w:iCs w:val="false"/>
          <w:color w:val="000000"/>
          <w:sz w:val="22"/>
          <w:szCs w:val="22"/>
        </w:rPr>
        <w:t xml:space="preserve">The layout uses Tailwind's responsive prefix convention (sm:, lg:) extensively to provide adapted layouts across mobile and desktop viewports. On narrow screens, the header collapses to show only the application icon and authentication controls; descriptive text is hidden. The upload zone adapts its padding and icon sizes. The tab bar stacks vertically on narrow viewports and transitions to a horizontal arrangement on wider screens. The camera input pathway is particularly relevant for mobile users in college settings who may be photographing handwritten notes in a tutorial or library environment.</w:t>
      </w:r>
    </w:p>
    <w:p>
      <w:pPr>
        <w:pStyle w:val="Heading2"/>
        <w:spacing w:after="150" w:before="300"/>
      </w:pPr>
      <w:r>
        <w:rPr>
          <w:rFonts w:ascii="Arial" w:cs="Arial" w:eastAsia="Arial" w:hAnsi="Arial"/>
          <w:b/>
          <w:bCs/>
          <w:sz w:val="26"/>
          <w:szCs w:val="26"/>
        </w:rPr>
        <w:t xml:space="preserve">8.6 Authentication Integration</w:t>
      </w:r>
    </w:p>
    <w:p>
      <w:pPr>
        <w:spacing w:after="80" w:before="80" w:line="320"/>
        <w:jc w:val="both"/>
      </w:pPr>
      <w:r>
        <w:rPr>
          <w:rFonts w:ascii="Arial" w:cs="Arial" w:eastAsia="Arial" w:hAnsi="Arial"/>
          <w:b w:val="false"/>
          <w:bCs w:val="false"/>
          <w:i w:val="false"/>
          <w:iCs w:val="false"/>
          <w:color w:val="000000"/>
          <w:sz w:val="22"/>
          <w:szCs w:val="22"/>
        </w:rPr>
        <w:t xml:space="preserve">Authentication state is initialised by calling supabase.auth.getSession() on component mount and then subscribing to auth state changes via supabase.auth.onAuthStateChange(). This ensures the user object is correctly reflected whether the user signs in or out during a session. The subscription is cleaned up on component unmount via the subscription.unsubscribe() call in the useEffect cleanup function. The user object from Supabase contains user_metadata which is used to display the user's Google avatar and display name in the Auth component.</w:t>
      </w:r>
    </w:p>
    <w:p>
      <w:r>
        <w:br w:type="page"/>
      </w:r>
    </w:p>
    <w:p>
      <w:pPr>
        <w:pStyle w:val="Heading1"/>
        <w:spacing w:after="200" w:before="400"/>
      </w:pPr>
      <w:r>
        <w:rPr>
          <w:rFonts w:ascii="Arial" w:cs="Arial" w:eastAsia="Arial" w:hAnsi="Arial"/>
          <w:b/>
          <w:bCs/>
          <w:sz w:val="32"/>
          <w:szCs w:val="32"/>
        </w:rPr>
        <w:t xml:space="preserve">9. Backend Architecture</w:t>
      </w:r>
    </w:p>
    <w:p>
      <w:pPr>
        <w:pStyle w:val="Heading2"/>
        <w:spacing w:after="150" w:before="300"/>
      </w:pPr>
      <w:r>
        <w:rPr>
          <w:rFonts w:ascii="Arial" w:cs="Arial" w:eastAsia="Arial" w:hAnsi="Arial"/>
          <w:b/>
          <w:bCs/>
          <w:sz w:val="26"/>
          <w:szCs w:val="26"/>
        </w:rPr>
        <w:t xml:space="preserve">9.1 FastAPI Application Structure</w:t>
      </w:r>
    </w:p>
    <w:p>
      <w:pPr>
        <w:spacing w:after="80" w:before="80" w:line="320"/>
        <w:jc w:val="both"/>
      </w:pPr>
      <w:r>
        <w:rPr>
          <w:rFonts w:ascii="Arial" w:cs="Arial" w:eastAsia="Arial" w:hAnsi="Arial"/>
          <w:b w:val="false"/>
          <w:bCs w:val="false"/>
          <w:i w:val="false"/>
          <w:iCs w:val="false"/>
          <w:color w:val="000000"/>
          <w:sz w:val="22"/>
          <w:szCs w:val="22"/>
        </w:rPr>
        <w:t xml:space="preserve">The backend is a single-file FastAPI application defined in backend/main.py. It declares two application routes beyond the health check: POST /upload and POST /compile. A global CORS middleware is added with allow_origins=["*"], permitting requests from any origin. An additional custom middleware, add_cors_on_error, ensures that the Access-Control-Allow-Origin header is appended to error responses, which would otherwise block the browser from reading the response body. The GROQ_API_KEY is loaded from a .env file at startup; if the key is absent, the application raises a ValueError and refuses to start.</w:t>
      </w:r>
    </w:p>
    <w:p>
      <w:pPr>
        <w:pStyle w:val="Heading2"/>
        <w:spacing w:after="150" w:before="300"/>
      </w:pPr>
      <w:r>
        <w:rPr>
          <w:rFonts w:ascii="Arial" w:cs="Arial" w:eastAsia="Arial" w:hAnsi="Arial"/>
          <w:b/>
          <w:bCs/>
          <w:sz w:val="26"/>
          <w:szCs w:val="26"/>
        </w:rPr>
        <w:t xml:space="preserve">9.2 Request Validation</w:t>
      </w:r>
    </w:p>
    <w:p>
      <w:pPr>
        <w:spacing w:after="80" w:before="80" w:line="320"/>
        <w:jc w:val="both"/>
      </w:pPr>
      <w:r>
        <w:rPr>
          <w:rFonts w:ascii="Arial" w:cs="Arial" w:eastAsia="Arial" w:hAnsi="Arial"/>
          <w:b w:val="false"/>
          <w:bCs w:val="false"/>
          <w:i w:val="false"/>
          <w:iCs w:val="false"/>
          <w:color w:val="000000"/>
          <w:sz w:val="22"/>
          <w:szCs w:val="22"/>
        </w:rPr>
        <w:t xml:space="preserve">The /upload endpoint performs two validation checks: it inspects the file's content_type attribute against the ALLOWED_TYPES set and it checks the length of the read file bytes against the MAX_FILE_SIZE ceiling of 10,485,760 bytes. Both checks return a JSON error response on failure. Note that content_type is taken from the multipart form field metadata supplied by the client, which is not authoritative; a malicious client could supply an image/jpeg content type for a non-image file. The backend does not perform any magic byte inspection or image library validation prior to passing the bytes to the OCR pipeline, relying on Pillow or the Groq API to raise an error if the file is not a valid image.</w:t>
      </w:r>
    </w:p>
    <w:p>
      <w:pPr>
        <w:pStyle w:val="Heading2"/>
        <w:spacing w:after="150" w:before="300"/>
      </w:pPr>
      <w:r>
        <w:rPr>
          <w:rFonts w:ascii="Arial" w:cs="Arial" w:eastAsia="Arial" w:hAnsi="Arial"/>
          <w:b/>
          <w:bCs/>
          <w:sz w:val="26"/>
          <w:szCs w:val="26"/>
        </w:rPr>
        <w:t xml:space="preserve">9.3 OCR Decision Logic</w:t>
      </w:r>
    </w:p>
    <w:p>
      <w:pPr>
        <w:spacing w:after="80" w:before="80" w:line="320"/>
        <w:jc w:val="both"/>
      </w:pPr>
      <w:r>
        <w:rPr>
          <w:rFonts w:ascii="Arial" w:cs="Arial" w:eastAsia="Arial" w:hAnsi="Arial"/>
          <w:b w:val="false"/>
          <w:bCs w:val="false"/>
          <w:i w:val="false"/>
          <w:iCs w:val="false"/>
          <w:color w:val="000000"/>
          <w:sz w:val="22"/>
          <w:szCs w:val="22"/>
        </w:rPr>
        <w:t xml:space="preserve">The auto_ocr() function implements a two-path OCR strategy gated by platform detection. When running on Windows, it opens the image bytes with Pillow and calls get_tesseract_confidence() to obtain an average character confidence score from Tesseract's image_to_data output. If the average confidence across all recognised tokens is at or above sixty percent, it proceeds with Tesseract OCR and returns the result with the engine field set to 'tesseract'. If confidence is below sixty percent, it falls through to the Groq vision model. On non-Windows platforms, the Tesseract path is bypassed entirely and the Groq model is invoked unconditionally. The confidence value is included in the /upload response but is not displayed in the frontend UI.</w:t>
      </w:r>
    </w:p>
    <w:p>
      <w:pPr>
        <w:pStyle w:val="Heading2"/>
        <w:spacing w:after="150" w:before="300"/>
      </w:pPr>
      <w:r>
        <w:rPr>
          <w:rFonts w:ascii="Arial" w:cs="Arial" w:eastAsia="Arial" w:hAnsi="Arial"/>
          <w:b/>
          <w:bCs/>
          <w:sz w:val="26"/>
          <w:szCs w:val="26"/>
        </w:rPr>
        <w:t xml:space="preserve">9.4 In-Memory PDF Cache</w:t>
      </w:r>
    </w:p>
    <w:p>
      <w:pPr>
        <w:spacing w:after="80" w:before="80" w:line="320"/>
        <w:jc w:val="both"/>
      </w:pPr>
      <w:r>
        <w:rPr>
          <w:rFonts w:ascii="Arial" w:cs="Arial" w:eastAsia="Arial" w:hAnsi="Arial"/>
          <w:b w:val="false"/>
          <w:bCs w:val="false"/>
          <w:i w:val="false"/>
          <w:iCs w:val="false"/>
          <w:color w:val="000000"/>
          <w:sz w:val="22"/>
          <w:szCs w:val="22"/>
        </w:rPr>
        <w:t xml:space="preserve">The backend maintains an in-memory dictionary pdf_cache keyed by the MD5 hash of the processed LaTeX source string (after placeholder substitution). The maximum cache size is fifty entries. When the cache is full, the oldest entry is evicted by deleting the first key in the dictionary, relying on Python's dict insertion-order guarantee (available from Python 3.7 onwards). On a cache hit, the cached PDF bytes and warnings list are returned directly. The cache is instance-level and not persistent; it is lost on server restart. In a horizontally scaled multi-instance deployment, each instance maintains an independent cache, meaning cache hits cannot be guaranteed across requests routed to different instances.</w:t>
      </w:r>
    </w:p>
    <w:p>
      <w:pPr>
        <w:pStyle w:val="Heading2"/>
        <w:spacing w:after="150" w:before="300"/>
      </w:pPr>
      <w:r>
        <w:rPr>
          <w:rFonts w:ascii="Arial" w:cs="Arial" w:eastAsia="Arial" w:hAnsi="Arial"/>
          <w:b/>
          <w:bCs/>
          <w:sz w:val="26"/>
          <w:szCs w:val="26"/>
        </w:rPr>
        <w:t xml:space="preserve">9.5 Compilation Path Branching</w:t>
      </w:r>
    </w:p>
    <w:p>
      <w:pPr>
        <w:spacing w:after="80" w:before="80" w:line="320"/>
        <w:jc w:val="both"/>
      </w:pPr>
      <w:r>
        <w:rPr>
          <w:rFonts w:ascii="Arial" w:cs="Arial" w:eastAsia="Arial" w:hAnsi="Arial"/>
          <w:b w:val="false"/>
          <w:bCs w:val="false"/>
          <w:i w:val="false"/>
          <w:iCs w:val="false"/>
          <w:color w:val="000000"/>
          <w:sz w:val="22"/>
          <w:szCs w:val="22"/>
        </w:rPr>
        <w:t xml:space="preserve">The /compile endpoint's core logic branches on platform.system() == 'Windows'. In the Windows path, the code writes the LaTeX source to a temporary file in a TemporaryDirectory and launches pdflatex with the --no-shell-escape flag in -interaction=nonstopmode via subprocess, concurrently running chktex against the same file using a ThreadPoolExecutor with two workers. The PDF file produced in the temporary directory is read and returned. In the non-Windows path, the code posts the LaTeX source to the YtoTech LaTeX Online API at https://latex.ytotech.com/builds/sync with a sixty-second timeout using the httpx async client. The response is inspected for a 200 or 201 HTTP status code and an application/pdf content type; if either condition fails, the response body is parsed for a log_files field containing the compilation log, from which errors are extracted.</w:t>
      </w:r>
    </w:p>
    <w:p>
      <w:r>
        <w:br w:type="page"/>
      </w:r>
    </w:p>
    <w:p>
      <w:pPr>
        <w:pStyle w:val="Heading1"/>
        <w:spacing w:after="200" w:before="400"/>
      </w:pPr>
      <w:r>
        <w:rPr>
          <w:rFonts w:ascii="Arial" w:cs="Arial" w:eastAsia="Arial" w:hAnsi="Arial"/>
          <w:b/>
          <w:bCs/>
          <w:sz w:val="32"/>
          <w:szCs w:val="32"/>
        </w:rPr>
        <w:t xml:space="preserve">10. OCR and LaTeX Extraction Pipeline</w:t>
      </w:r>
    </w:p>
    <w:p>
      <w:pPr>
        <w:pStyle w:val="Heading2"/>
        <w:spacing w:after="150" w:before="300"/>
      </w:pPr>
      <w:r>
        <w:rPr>
          <w:rFonts w:ascii="Arial" w:cs="Arial" w:eastAsia="Arial" w:hAnsi="Arial"/>
          <w:b/>
          <w:bCs/>
          <w:sz w:val="26"/>
          <w:szCs w:val="26"/>
        </w:rPr>
        <w:t xml:space="preserve">10.1 Tesseract-Based Extraction</w:t>
      </w:r>
    </w:p>
    <w:p>
      <w:pPr>
        <w:spacing w:after="80" w:before="80" w:line="320"/>
        <w:jc w:val="both"/>
      </w:pPr>
      <w:r>
        <w:rPr>
          <w:rFonts w:ascii="Arial" w:cs="Arial" w:eastAsia="Arial" w:hAnsi="Arial"/>
          <w:b w:val="false"/>
          <w:bCs w:val="false"/>
          <w:i w:val="false"/>
          <w:iCs w:val="false"/>
          <w:color w:val="000000"/>
          <w:sz w:val="22"/>
          <w:szCs w:val="22"/>
        </w:rPr>
        <w:t xml:space="preserve">On Windows development hosts, Tesseract is configured with OCR Engine Mode 3, which uses the LSTM recurrent neural network model introduced in Tesseract 4.x. Page Segmentation Mode 6 assumes the image contains a single uniform block of text, which is a reasonable assumption for a photograph of handwritten or printed LaTeX code on a sheet of paper. The confidence scoring reads the 'conf' field from Tesseract's per-word data output, filtering out the sentinel value of -1, which Tesseract uses to indicate whitespace or page-level entries. The average of the remaining confidence values is used as the decision threshold. A threshold of sixty percent is conservative: Tesseract's performance on handwritten LaTeX — which contains dense backslash-prefixed command tokens, mathematical symbols, and unusual character sequences — is likely to be substantially lower than its performance on printed prose.</w:t>
      </w:r>
    </w:p>
    <w:p>
      <w:pPr>
        <w:pStyle w:val="Heading2"/>
        <w:spacing w:after="150" w:before="300"/>
      </w:pPr>
      <w:r>
        <w:rPr>
          <w:rFonts w:ascii="Arial" w:cs="Arial" w:eastAsia="Arial" w:hAnsi="Arial"/>
          <w:b/>
          <w:bCs/>
          <w:sz w:val="26"/>
          <w:szCs w:val="26"/>
        </w:rPr>
        <w:t xml:space="preserve">10.2 Groq Vision-Based Extraction</w:t>
      </w:r>
    </w:p>
    <w:p>
      <w:pPr>
        <w:spacing w:after="80" w:before="80" w:line="320"/>
        <w:jc w:val="both"/>
      </w:pPr>
      <w:r>
        <w:rPr>
          <w:rFonts w:ascii="Arial" w:cs="Arial" w:eastAsia="Arial" w:hAnsi="Arial"/>
          <w:b w:val="false"/>
          <w:bCs w:val="false"/>
          <w:i w:val="false"/>
          <w:iCs w:val="false"/>
          <w:color w:val="000000"/>
          <w:sz w:val="22"/>
          <w:szCs w:val="22"/>
        </w:rPr>
        <w:t xml:space="preserve">The groq_vision_ocr() function encodes the raw image bytes as base64 and constructs a multimodal chat completion request to the Groq API using the meta-llama/llama-4-scout-17b-16e-instruct model. The prompt explicitly instructs the model to extract only the raw LaTeX source code without any explanatory text, markdown formatting, or code fences. The model's response text is stripped of leading and trailing whitespace and returned. This approach leverages the model's ability to understand visual LaTeX syntax — including handwritten variations — in a way that a purely character-recognition system like Tesseract cannot. The trade-off is latency and dependency on an external commercial API. The max_tokens parameter is set to 1000, which may truncate longer LaTeX documents; a complete thesis section or a densely annotated equation sheet could exceed this limit.</w:t>
      </w:r>
    </w:p>
    <w:p>
      <w:pPr>
        <w:pStyle w:val="Heading2"/>
        <w:spacing w:after="150" w:before="300"/>
      </w:pPr>
      <w:r>
        <w:rPr>
          <w:rFonts w:ascii="Arial" w:cs="Arial" w:eastAsia="Arial" w:hAnsi="Arial"/>
          <w:b/>
          <w:bCs/>
          <w:sz w:val="26"/>
          <w:szCs w:val="26"/>
        </w:rPr>
        <w:t xml:space="preserve">10.3 Fallback Logic and Limitations</w:t>
      </w:r>
    </w:p>
    <w:p>
      <w:pPr>
        <w:spacing w:after="80" w:before="80" w:line="320"/>
        <w:jc w:val="both"/>
      </w:pPr>
      <w:r>
        <w:rPr>
          <w:rFonts w:ascii="Arial" w:cs="Arial" w:eastAsia="Arial" w:hAnsi="Arial"/>
          <w:b w:val="false"/>
          <w:bCs w:val="false"/>
          <w:i w:val="false"/>
          <w:iCs w:val="false"/>
          <w:color w:val="000000"/>
          <w:sz w:val="22"/>
          <w:szCs w:val="22"/>
        </w:rPr>
        <w:t xml:space="preserve">The fallback logic — Tesseract first, Groq if confidence is below sixty percent — is directionally sound but has practical limitations. Tesseract's character recognition accuracy on handwritten LaTeX is variable and may produce plausible-looking but incorrect character sequences, particularly for backslash-prefixed commands and subscript/superscript notation. A high-confidence Tesseract result does not guarantee a correct LaTeX extraction; it only reflects Tesseract's internal confidence in its character recognition, which may be systematically wrong for LaTeX-specific characters. In practice, on cloud deployments where the Tesseract path is never activated, the Groq model is the sole extractor, and its accuracy for handwritten mathematical LaTeX is a direct function of the model's training distribution and the clarity of the photographed image.</w:t>
      </w:r>
    </w:p>
    <w:p>
      <w:pPr>
        <w:pStyle w:val="Heading1"/>
        <w:spacing w:after="200" w:before="400"/>
      </w:pPr>
      <w:r>
        <w:rPr>
          <w:rFonts w:ascii="Arial" w:cs="Arial" w:eastAsia="Arial" w:hAnsi="Arial"/>
          <w:b/>
          <w:bCs/>
          <w:sz w:val="32"/>
          <w:szCs w:val="32"/>
        </w:rPr>
        <w:t xml:space="preserve">11. LaTeX Sanitisation and Security</w:t>
      </w:r>
    </w:p>
    <w:p>
      <w:pPr>
        <w:pStyle w:val="Heading2"/>
        <w:spacing w:after="150" w:before="300"/>
      </w:pPr>
      <w:r>
        <w:rPr>
          <w:rFonts w:ascii="Arial" w:cs="Arial" w:eastAsia="Arial" w:hAnsi="Arial"/>
          <w:b/>
          <w:bCs/>
          <w:sz w:val="26"/>
          <w:szCs w:val="26"/>
        </w:rPr>
        <w:t xml:space="preserve">11.1 Dangerous Command Filtering</w:t>
      </w:r>
    </w:p>
    <w:p>
      <w:pPr>
        <w:spacing w:after="80" w:before="80" w:line="320"/>
        <w:jc w:val="both"/>
      </w:pPr>
      <w:r>
        <w:rPr>
          <w:rFonts w:ascii="Arial" w:cs="Arial" w:eastAsia="Arial" w:hAnsi="Arial"/>
          <w:b w:val="false"/>
          <w:bCs w:val="false"/>
          <w:i w:val="false"/>
          <w:iCs w:val="false"/>
          <w:color w:val="000000"/>
          <w:sz w:val="22"/>
          <w:szCs w:val="22"/>
        </w:rPr>
        <w:t xml:space="preserve">The sanitise_latex() function applies a set of seven compiled regular expression patterns against the incoming LaTeX source. The patterns target \write18 (shell escape), \catcode (character category modification), \openout and \openin (file system write and read operations), \immediate (deferred stream operations), \include{, and \input{. If any pattern matches, the function returns a False flag with a message identifying the offending pattern, and the /compile endpoint returns a 200 JSON error response with a 'Security violation' message.</w:t>
      </w:r>
    </w:p>
    <w:p>
      <w:pPr>
        <w:pStyle w:val="Heading2"/>
        <w:spacing w:after="150" w:before="300"/>
      </w:pPr>
      <w:r>
        <w:rPr>
          <w:rFonts w:ascii="Arial" w:cs="Arial" w:eastAsia="Arial" w:hAnsi="Arial"/>
          <w:b/>
          <w:bCs/>
          <w:sz w:val="26"/>
          <w:szCs w:val="26"/>
        </w:rPr>
        <w:t xml:space="preserve">11.2 Why This Filtering Is Necessary</w:t>
      </w:r>
    </w:p>
    <w:p>
      <w:pPr>
        <w:spacing w:after="80" w:before="80" w:line="320"/>
        <w:jc w:val="both"/>
      </w:pPr>
      <w:r>
        <w:rPr>
          <w:rFonts w:ascii="Arial" w:cs="Arial" w:eastAsia="Arial" w:hAnsi="Arial"/>
          <w:b w:val="false"/>
          <w:bCs w:val="false"/>
          <w:i w:val="false"/>
          <w:iCs w:val="false"/>
          <w:color w:val="000000"/>
          <w:sz w:val="22"/>
          <w:szCs w:val="22"/>
        </w:rPr>
        <w:t xml:space="preserve">LaTeX is a Turing-complete macro language with direct access to the operating system when shell escape is enabled. Even with shell escape disabled, LaTeX commands such as \openout can write arbitrary files to the filesystem, and \input can read and include any file accessible to the pdflatex process. In a shared compilation environment, an attacker who can submit LaTeX source to a compilation endpoint could use these commands to read configuration files, include sensitive content in the compiled PDF, or consume arbitrary disk space. The current application explicitly passes --no-shell-escape to pdflatex on Windows, which prevents \write18 from executing shell commands, but this flag alone does not prevent file system access via \openout and \openin. The regex filter provides an additional defensive layer against these vectors.</w:t>
      </w:r>
    </w:p>
    <w:p>
      <w:pPr>
        <w:pStyle w:val="Heading2"/>
        <w:spacing w:after="150" w:before="300"/>
      </w:pPr>
      <w:r>
        <w:rPr>
          <w:rFonts w:ascii="Arial" w:cs="Arial" w:eastAsia="Arial" w:hAnsi="Arial"/>
          <w:b/>
          <w:bCs/>
          <w:sz w:val="26"/>
          <w:szCs w:val="26"/>
        </w:rPr>
        <w:t xml:space="preserve">11.3 Limitations of Regex-Based Filtering</w:t>
      </w:r>
    </w:p>
    <w:p>
      <w:pPr>
        <w:spacing w:after="80" w:before="80" w:line="320"/>
        <w:jc w:val="both"/>
      </w:pPr>
      <w:r>
        <w:rPr>
          <w:rFonts w:ascii="Arial" w:cs="Arial" w:eastAsia="Arial" w:hAnsi="Arial"/>
          <w:b w:val="false"/>
          <w:bCs w:val="false"/>
          <w:i w:val="false"/>
          <w:iCs w:val="false"/>
          <w:color w:val="000000"/>
          <w:sz w:val="22"/>
          <w:szCs w:val="22"/>
        </w:rPr>
        <w:t xml:space="preserve">Regex pattern matching against LaTeX source is an imperfect security control. LaTeX's macro system allows command names to be constructed dynamically, commands to be renamed using \let or \def, and catcode changes to alter how the LaTeX parser interprets characters. A sufficiently motivated attacker familiar with TeX internals can construct LaTeX source that circumvents string-based pattern matching. Additionally, the current filter blocks \include{ and \input{ using a pattern that matches only the literal character sequence; a space between \include and { (e.g., \include {file}) may not be matched, depending on how pdflatex parses the whitespace. The pattern r'\\include\s*\{' does include \s* to handle whitespace, which is correct, but \input\s*\{ similarly handles this case only if the space is ASCII whitespace. A complete security solution would require sandboxing the compilation process in a container or using a dedicated secure LaTeX compilation service rather than relying on pattern matching.</w:t>
      </w:r>
    </w:p>
    <w:p>
      <w:pPr>
        <w:pStyle w:val="Heading2"/>
        <w:spacing w:after="150" w:before="300"/>
      </w:pPr>
      <w:r>
        <w:rPr>
          <w:rFonts w:ascii="Arial" w:cs="Arial" w:eastAsia="Arial" w:hAnsi="Arial"/>
          <w:b/>
          <w:bCs/>
          <w:sz w:val="26"/>
          <w:szCs w:val="26"/>
        </w:rPr>
        <w:t xml:space="preserve">11.4 CORS Configuration</w:t>
      </w:r>
    </w:p>
    <w:p>
      <w:pPr>
        <w:spacing w:after="80" w:before="80" w:line="320"/>
        <w:jc w:val="both"/>
      </w:pPr>
      <w:r>
        <w:rPr>
          <w:rFonts w:ascii="Arial" w:cs="Arial" w:eastAsia="Arial" w:hAnsi="Arial"/>
          <w:b w:val="false"/>
          <w:bCs w:val="false"/>
          <w:i w:val="false"/>
          <w:iCs w:val="false"/>
          <w:color w:val="000000"/>
          <w:sz w:val="22"/>
          <w:szCs w:val="22"/>
        </w:rPr>
        <w:t xml:space="preserve">The backend sets allow_origins=["*"], permitting cross-origin requests from any domain. This is appropriate for a public student-facing service but should be restricted to the specific frontend origin in a production deployment to prevent third-party sites from using the backend as a free compilation proxy. The current configuration exposes the /compile endpoint to any web page that can reach the server.</w:t>
      </w:r>
    </w:p>
    <w:p>
      <w:r>
        <w:br w:type="page"/>
      </w:r>
    </w:p>
    <w:p>
      <w:pPr>
        <w:pStyle w:val="Heading1"/>
        <w:spacing w:after="200" w:before="400"/>
      </w:pPr>
      <w:r>
        <w:rPr>
          <w:rFonts w:ascii="Arial" w:cs="Arial" w:eastAsia="Arial" w:hAnsi="Arial"/>
          <w:b/>
          <w:bCs/>
          <w:sz w:val="32"/>
          <w:szCs w:val="32"/>
        </w:rPr>
        <w:t xml:space="preserve">12. PDF Generation and Compilation Pipeline</w:t>
      </w:r>
    </w:p>
    <w:p>
      <w:pPr>
        <w:pStyle w:val="Heading2"/>
        <w:spacing w:after="150" w:before="300"/>
      </w:pPr>
      <w:r>
        <w:rPr>
          <w:rFonts w:ascii="Arial" w:cs="Arial" w:eastAsia="Arial" w:hAnsi="Arial"/>
          <w:b/>
          <w:bCs/>
          <w:sz w:val="26"/>
          <w:szCs w:val="26"/>
        </w:rPr>
        <w:t xml:space="preserve">12.1 Image Placeholder Substitution</w:t>
      </w:r>
    </w:p>
    <w:p>
      <w:pPr>
        <w:spacing w:after="80" w:before="80" w:line="320"/>
        <w:jc w:val="both"/>
      </w:pPr>
      <w:r>
        <w:rPr>
          <w:rFonts w:ascii="Arial" w:cs="Arial" w:eastAsia="Arial" w:hAnsi="Arial"/>
          <w:b w:val="false"/>
          <w:bCs w:val="false"/>
          <w:i w:val="false"/>
          <w:iCs w:val="false"/>
          <w:color w:val="000000"/>
          <w:sz w:val="22"/>
          <w:szCs w:val="22"/>
        </w:rPr>
        <w:t xml:space="preserve">Before compilation, the replace_images_with_placeholders() function processes the LaTeX source to replace all \includegraphics directives with visual placeholder boxes. This is necessary because the remote YtoTech compilation service — and indeed any compilation environment — cannot access the image files referenced in the LaTeX source, which typically exist only on the student's local device. The function uses a regex to match \includegraphics with or without optional arguments and extracts the filename and the width parameter if present. It then substitutes the directive with a \fbox{\parbox{...}{...}} construction that renders as a framed box of the specified width containing the filename in typewriter font. If the graphicx package is not already declared in the preamble, the function injects it after the \documentclass declaration.</w:t>
      </w:r>
    </w:p>
    <w:p>
      <w:pPr>
        <w:pStyle w:val="Heading2"/>
        <w:spacing w:after="150" w:before="300"/>
      </w:pPr>
      <w:r>
        <w:rPr>
          <w:rFonts w:ascii="Arial" w:cs="Arial" w:eastAsia="Arial" w:hAnsi="Arial"/>
          <w:b/>
          <w:bCs/>
          <w:sz w:val="26"/>
          <w:szCs w:val="26"/>
        </w:rPr>
        <w:t xml:space="preserve">12.2 Local Compilation (Windows)</w:t>
      </w:r>
    </w:p>
    <w:p>
      <w:pPr>
        <w:spacing w:after="80" w:before="80" w:line="320"/>
        <w:jc w:val="both"/>
      </w:pPr>
      <w:r>
        <w:rPr>
          <w:rFonts w:ascii="Arial" w:cs="Arial" w:eastAsia="Arial" w:hAnsi="Arial"/>
          <w:b w:val="false"/>
          <w:bCs w:val="false"/>
          <w:i w:val="false"/>
          <w:iCs w:val="false"/>
          <w:color w:val="000000"/>
          <w:sz w:val="22"/>
          <w:szCs w:val="22"/>
        </w:rPr>
        <w:t xml:space="preserve">On Windows hosts, pdflatex is invoked as a subprocess with the -interaction=nonstopmode flag, which prevents pdflatex from pausing for user input on errors, and the --no-shell-escape flag, which disables the \write18 shell escape mechanism. The LaTeX source is written to a temporary .tex file and compilation is performed with the working directory set to the temporary directory. The compilation and the chktex linting run concurrently on a two-worker ThreadPoolExecutor. The stdout of pdflatex is captured and parsed by parse_latex_errors() for error lines. The PDF file is read from the temporary directory if it exists. On failure, the error structure is returned as JSON.</w:t>
      </w:r>
    </w:p>
    <w:p>
      <w:pPr>
        <w:pStyle w:val="Heading2"/>
        <w:spacing w:after="150" w:before="300"/>
      </w:pPr>
      <w:r>
        <w:rPr>
          <w:rFonts w:ascii="Arial" w:cs="Arial" w:eastAsia="Arial" w:hAnsi="Arial"/>
          <w:b/>
          <w:bCs/>
          <w:sz w:val="26"/>
          <w:szCs w:val="26"/>
        </w:rPr>
        <w:t xml:space="preserve">12.3 Remote Compilation (Linux / Cloud)</w:t>
      </w:r>
    </w:p>
    <w:p>
      <w:pPr>
        <w:spacing w:after="80" w:before="80" w:line="320"/>
        <w:jc w:val="both"/>
      </w:pPr>
      <w:r>
        <w:rPr>
          <w:rFonts w:ascii="Arial" w:cs="Arial" w:eastAsia="Arial" w:hAnsi="Arial"/>
          <w:b w:val="false"/>
          <w:bCs w:val="false"/>
          <w:i w:val="false"/>
          <w:iCs w:val="false"/>
          <w:color w:val="000000"/>
          <w:sz w:val="22"/>
          <w:szCs w:val="22"/>
        </w:rPr>
        <w:t xml:space="preserve">On non-Windows platforms, the backend delegates compilation to the YtoTech LaTeX Online API at https://latex.ytotech.com/builds/sync. The request body specifies the 'pdflatex' compiler and supplies the LaTeX source as the content of the main resource. The API is called with a sixty-second timeout. A successful response has HTTP status 200 or 201 and a content-type of application/pdf; the response body is the compiled PDF binary. On failure, the API returns a JSON body containing a log_files dictionary; the backend extracts the first log file entry and parses it with parse_latex_errors(). Importantly, chktex is not invoked in the non-Windows path, meaning that the detailed linting warnings available on Windows are absent from cloud deployments. Only the outdated package warnings from check_outdated_packages() and any compilation errors from the YtoTech log are returned to the frontend.</w:t>
      </w:r>
    </w:p>
    <w:p>
      <w:pPr>
        <w:pStyle w:val="Heading2"/>
        <w:spacing w:after="150" w:before="300"/>
      </w:pPr>
      <w:r>
        <w:rPr>
          <w:rFonts w:ascii="Arial" w:cs="Arial" w:eastAsia="Arial" w:hAnsi="Arial"/>
          <w:b/>
          <w:bCs/>
          <w:sz w:val="26"/>
          <w:szCs w:val="26"/>
        </w:rPr>
        <w:t xml:space="preserve">12.4 Cache Management</w:t>
      </w:r>
    </w:p>
    <w:p>
      <w:pPr>
        <w:spacing w:after="80" w:before="80" w:line="320"/>
        <w:jc w:val="both"/>
      </w:pPr>
      <w:r>
        <w:rPr>
          <w:rFonts w:ascii="Arial" w:cs="Arial" w:eastAsia="Arial" w:hAnsi="Arial"/>
          <w:b w:val="false"/>
          <w:bCs w:val="false"/>
          <w:i w:val="false"/>
          <w:iCs w:val="false"/>
          <w:color w:val="000000"/>
          <w:sz w:val="22"/>
          <w:szCs w:val="22"/>
        </w:rPr>
        <w:t xml:space="preserve">After a successful compilation — whether local or remote — the PDF bytes and the warnings list are stored in the pdf_cache dictionary keyed by the MD5 hash of the post-placeholder-substitution LaTeX source. The cache key is computed after placeholder substitution, meaning that two documents that differ only in their \includegraphics paths but have identical structure after substitution will share a cache entry. The MD5 hash provides a collision probability low enough for practical purposes but is not cryptographically secure. Eviction occurs when the cache size reaches fifty entries; the oldest entry by insertion order is evicted. This simple LRU-adjacent policy is adequate for single-instance deployments but will result in frequent cache misses in multi-instance deployments.</w:t>
      </w:r>
    </w:p>
    <w:p>
      <w:pPr>
        <w:pStyle w:val="Heading1"/>
        <w:spacing w:after="200" w:before="400"/>
      </w:pPr>
      <w:r>
        <w:rPr>
          <w:rFonts w:ascii="Arial" w:cs="Arial" w:eastAsia="Arial" w:hAnsi="Arial"/>
          <w:b/>
          <w:bCs/>
          <w:sz w:val="32"/>
          <w:szCs w:val="32"/>
        </w:rPr>
        <w:t xml:space="preserve">13. Warning and Error Handling</w:t>
      </w:r>
    </w:p>
    <w:p>
      <w:pPr>
        <w:pStyle w:val="Heading2"/>
        <w:spacing w:after="150" w:before="300"/>
      </w:pPr>
      <w:r>
        <w:rPr>
          <w:rFonts w:ascii="Arial" w:cs="Arial" w:eastAsia="Arial" w:hAnsi="Arial"/>
          <w:b/>
          <w:bCs/>
          <w:sz w:val="26"/>
          <w:szCs w:val="26"/>
        </w:rPr>
        <w:t xml:space="preserve">13.1 Compilation Error Parsing</w:t>
      </w:r>
    </w:p>
    <w:p>
      <w:pPr>
        <w:spacing w:after="80" w:before="80" w:line="320"/>
        <w:jc w:val="both"/>
      </w:pPr>
      <w:r>
        <w:rPr>
          <w:rFonts w:ascii="Arial" w:cs="Arial" w:eastAsia="Arial" w:hAnsi="Arial"/>
          <w:b w:val="false"/>
          <w:bCs w:val="false"/>
          <w:i w:val="false"/>
          <w:iCs w:val="false"/>
          <w:color w:val="000000"/>
          <w:sz w:val="22"/>
          <w:szCs w:val="22"/>
        </w:rPr>
        <w:t xml:space="preserve">The parse_latex_errors() function processes the standard output of pdflatex or the log file content from the YtoTech API. It scans line by line for lines beginning with the '!' character, which is the standard LaTeX error line prefix. For each error line, it records the message text and then scans the following fifteen lines for an 'l.' prefix, which pdflatex uses to indicate the line number and context in the source file where the error occurred. The resulting error objects are structured with message, line, and context fields, matching the ErrorLine type declared in the frontend.</w:t>
      </w:r>
    </w:p>
    <w:p>
      <w:pPr>
        <w:pStyle w:val="Heading2"/>
        <w:spacing w:after="150" w:before="300"/>
      </w:pPr>
      <w:r>
        <w:rPr>
          <w:rFonts w:ascii="Arial" w:cs="Arial" w:eastAsia="Arial" w:hAnsi="Arial"/>
          <w:b/>
          <w:bCs/>
          <w:sz w:val="26"/>
          <w:szCs w:val="26"/>
        </w:rPr>
        <w:t xml:space="preserve">13.2 ChkTeX Warnings (Windows Only)</w:t>
      </w:r>
    </w:p>
    <w:p>
      <w:pPr>
        <w:spacing w:after="80" w:before="80" w:line="320"/>
        <w:jc w:val="both"/>
      </w:pPr>
      <w:r>
        <w:rPr>
          <w:rFonts w:ascii="Arial" w:cs="Arial" w:eastAsia="Arial" w:hAnsi="Arial"/>
          <w:b w:val="false"/>
          <w:bCs w:val="false"/>
          <w:i w:val="false"/>
          <w:iCs w:val="false"/>
          <w:color w:val="000000"/>
          <w:sz w:val="22"/>
          <w:szCs w:val="22"/>
        </w:rPr>
        <w:t xml:space="preserve">On Windows, the check_latex_warnings() function invokes chktex with the -q (quiet) and -wall (all warnings) flags against the temporary .tex file. ChkTeX is a static analysis tool for LaTeX that checks for common stylistic and correctness issues, such as incorrect spacing after punctuation, use of low-level TeX commands in place of LaTeX equivalents, and potential encoding issues. The function parses chktex's output by splitting each line on the ':' delimiter and extracting the message and line number fields. The chktex invocation has a ten-second timeout and is silently suppressed on exception, ensuring that a missing chktex binary does not crash the compilation route.</w:t>
      </w:r>
    </w:p>
    <w:p>
      <w:pPr>
        <w:pStyle w:val="Heading2"/>
        <w:spacing w:after="150" w:before="300"/>
      </w:pPr>
      <w:r>
        <w:rPr>
          <w:rFonts w:ascii="Arial" w:cs="Arial" w:eastAsia="Arial" w:hAnsi="Arial"/>
          <w:b/>
          <w:bCs/>
          <w:sz w:val="26"/>
          <w:szCs w:val="26"/>
        </w:rPr>
        <w:t xml:space="preserve">13.3 Outdated Package Warnings</w:t>
      </w:r>
    </w:p>
    <w:p>
      <w:pPr>
        <w:spacing w:after="80" w:before="80" w:line="320"/>
        <w:jc w:val="both"/>
      </w:pPr>
      <w:r>
        <w:rPr>
          <w:rFonts w:ascii="Arial" w:cs="Arial" w:eastAsia="Arial" w:hAnsi="Arial"/>
          <w:b w:val="false"/>
          <w:bCs w:val="false"/>
          <w:i w:val="false"/>
          <w:iCs w:val="false"/>
          <w:color w:val="000000"/>
          <w:sz w:val="22"/>
          <w:szCs w:val="22"/>
        </w:rPr>
        <w:t xml:space="preserve">The check_outdated_packages() function is the most comprehensive static analysis component of the backend, and uniquely, it runs on all platforms. It maintains a dictionary of thirty-one obsolete or deprecated LaTeX package names mapped to their recommended modern equivalents. It scans the LaTeX source line by line for \usepackage{&lt;deprecated_name&gt;} patterns and generates a warning for each match. It also detects incorrect \includegraphics syntax where both option brackets and filename appear in [] rather than the correct positional syntax, and flags the use of the $$ display math delimiter in favour of the \[ ... \] environment. Additionally, it checks for the absence of a \documentclass declaration, which is a structural error that will cause compilation to fail regardless of other content. This function is called before cache lookup — meaning warnings are always regenerated from source — but on a cache hit, the cached warnings list is returned rather than the freshly computed one. This creates a minor inconsistency: the check_outdated_packages result that influenced the cache-hit response is the one computed when the cache entry was originally created, not a fresh run on the current source.</w:t>
      </w:r>
    </w:p>
    <w:p>
      <w:pPr>
        <w:pStyle w:val="Heading2"/>
        <w:spacing w:after="150" w:before="300"/>
      </w:pPr>
      <w:r>
        <w:rPr>
          <w:rFonts w:ascii="Arial" w:cs="Arial" w:eastAsia="Arial" w:hAnsi="Arial"/>
          <w:b/>
          <w:bCs/>
          <w:sz w:val="26"/>
          <w:szCs w:val="26"/>
        </w:rPr>
        <w:t xml:space="preserve">13.4 Warning Transmission</w:t>
      </w:r>
    </w:p>
    <w:p>
      <w:pPr>
        <w:spacing w:after="80" w:before="80" w:line="320"/>
        <w:jc w:val="both"/>
      </w:pPr>
      <w:r>
        <w:rPr>
          <w:rFonts w:ascii="Arial" w:cs="Arial" w:eastAsia="Arial" w:hAnsi="Arial"/>
          <w:b w:val="false"/>
          <w:bCs w:val="false"/>
          <w:i w:val="false"/>
          <w:iCs w:val="false"/>
          <w:color w:val="000000"/>
          <w:sz w:val="22"/>
          <w:szCs w:val="22"/>
        </w:rPr>
        <w:t xml:space="preserve">Warnings are transmitted to the frontend not in the response body but in the X-Warnings-Data custom HTTP response header as a base64-encoded JSON string. The number of warnings is separately available in the X-Warnings-Count header. Both headers are listed in the Access-Control-Expose-Headers header to ensure they are accessible to browser JavaScript under the CORS model. The frontend decodes the base64 string using the atob() function and JSON.parse() to recover the warnings array. This approach is functional but has practical limits: HTTP headers are not designed for large payloads, and a document that triggers numerous chktex warnings could produce a header value that approaches or exceeds server and browser header size limits.</w:t>
      </w:r>
    </w:p>
    <w:p>
      <w:r>
        <w:br w:type="page"/>
      </w:r>
    </w:p>
    <w:p>
      <w:pPr>
        <w:pStyle w:val="Heading1"/>
        <w:spacing w:after="200" w:before="400"/>
      </w:pPr>
      <w:r>
        <w:rPr>
          <w:rFonts w:ascii="Arial" w:cs="Arial" w:eastAsia="Arial" w:hAnsi="Arial"/>
          <w:b/>
          <w:bCs/>
          <w:sz w:val="32"/>
          <w:szCs w:val="32"/>
        </w:rPr>
        <w:t xml:space="preserve">14. PDF Preview System</w:t>
      </w:r>
    </w:p>
    <w:p>
      <w:pPr>
        <w:pStyle w:val="Heading2"/>
        <w:spacing w:after="150" w:before="300"/>
      </w:pPr>
      <w:r>
        <w:rPr>
          <w:rFonts w:ascii="Arial" w:cs="Arial" w:eastAsia="Arial" w:hAnsi="Arial"/>
          <w:b/>
          <w:bCs/>
          <w:sz w:val="26"/>
          <w:szCs w:val="26"/>
        </w:rPr>
        <w:t xml:space="preserve">14.1 PdfViewer Component</w:t>
      </w:r>
    </w:p>
    <w:p>
      <w:pPr>
        <w:spacing w:after="80" w:before="80" w:line="320"/>
        <w:jc w:val="both"/>
      </w:pPr>
      <w:r>
        <w:rPr>
          <w:rFonts w:ascii="Arial" w:cs="Arial" w:eastAsia="Arial" w:hAnsi="Arial"/>
          <w:b w:val="false"/>
          <w:bCs w:val="false"/>
          <w:i w:val="false"/>
          <w:iCs w:val="false"/>
          <w:color w:val="000000"/>
          <w:sz w:val="22"/>
          <w:szCs w:val="22"/>
        </w:rPr>
        <w:t xml:space="preserve">The PdfViewer component is a client-only React component that receives the compiled PDF as an object URL and renders it on an HTML canvas element. It is dynamically imported with ssr: false in the parent page component to prevent Next.js from attempting to execute PDF.js during server-side rendering, where the DOM APIs it depends on are absent. The component initialises pdfjs-dist lazily via a dynamic import inside the loadPdf() async function, setting the workerSrc to the Cloudflare CDN URL for the compatible pdf.worker.min.js build.</w:t>
      </w:r>
    </w:p>
    <w:p>
      <w:pPr>
        <w:pStyle w:val="Heading2"/>
        <w:spacing w:after="150" w:before="300"/>
      </w:pPr>
      <w:r>
        <w:rPr>
          <w:rFonts w:ascii="Arial" w:cs="Arial" w:eastAsia="Arial" w:hAnsi="Arial"/>
          <w:b/>
          <w:bCs/>
          <w:sz w:val="26"/>
          <w:szCs w:val="26"/>
        </w:rPr>
        <w:t xml:space="preserve">14.2 Rendering Architecture</w:t>
      </w:r>
    </w:p>
    <w:p>
      <w:pPr>
        <w:spacing w:after="80" w:before="80" w:line="320"/>
        <w:jc w:val="both"/>
      </w:pPr>
      <w:r>
        <w:rPr>
          <w:rFonts w:ascii="Arial" w:cs="Arial" w:eastAsia="Arial" w:hAnsi="Arial"/>
          <w:b w:val="false"/>
          <w:bCs w:val="false"/>
          <w:i w:val="false"/>
          <w:iCs w:val="false"/>
          <w:color w:val="000000"/>
          <w:sz w:val="22"/>
          <w:szCs w:val="22"/>
        </w:rPr>
        <w:t xml:space="preserve">The PDF document is loaded by fetching the object URL as an ArrayBuffer and passing it to pdfjsLib.getDocument(). The resulting PDF document reference is stored in a useRef to persist across re-renders without triggering additional renders. Each page is rendered to the canvas by calling pdfRef.current.getPage(n) and then page.render({ canvasContext, viewport }). The canvas dimensions are set accounting for the device pixel ratio, which allows retina displays to render the PDF at full physical resolution. On initial load, the component computes a fit-to-width scale factor by dividing the container's client width (minus 32 pixels for padding) by the page's default viewport width at scale 1.0.</w:t>
      </w:r>
    </w:p>
    <w:p>
      <w:pPr>
        <w:pStyle w:val="Heading2"/>
        <w:spacing w:after="150" w:before="300"/>
      </w:pPr>
      <w:r>
        <w:rPr>
          <w:rFonts w:ascii="Arial" w:cs="Arial" w:eastAsia="Arial" w:hAnsi="Arial"/>
          <w:b/>
          <w:bCs/>
          <w:sz w:val="26"/>
          <w:szCs w:val="26"/>
        </w:rPr>
        <w:t xml:space="preserve">14.3 Zoom and Navigation</w:t>
      </w:r>
    </w:p>
    <w:p>
      <w:pPr>
        <w:spacing w:after="80" w:before="80" w:line="320"/>
        <w:jc w:val="both"/>
      </w:pPr>
      <w:r>
        <w:rPr>
          <w:rFonts w:ascii="Arial" w:cs="Arial" w:eastAsia="Arial" w:hAnsi="Arial"/>
          <w:b w:val="false"/>
          <w:bCs w:val="false"/>
          <w:i w:val="false"/>
          <w:iCs w:val="false"/>
          <w:color w:val="000000"/>
          <w:sz w:val="22"/>
          <w:szCs w:val="22"/>
        </w:rPr>
        <w:t xml:space="preserve">Zoom is controlled by a scale state variable, constrained between 0.5 and 3.0 in steps of 0.25. The zoomIn() and zoomOut() functions compute the scroll container's current focal point as a ratio of scroll position to scroll width/height, set the new scale, and use a 50-millisecond setTimeout to reposition the scroll container around the same focal point after the canvas has re-rendered. This approach produces a zoom experience that approximately preserves the visible content position, though the 50 ms delay is a heuristic and may not synchronise correctly on very slow devices. Pinch-to-zoom is supported via onTouchMove event handling: when two touches are detected, the distance between touch points is compared to the previous distance to compute a zoom ratio, which is applied to the current scale. The canvas is updated by the useEffect hook that responds to changes in currentPage or scale.</w:t>
      </w:r>
    </w:p>
    <w:p>
      <w:pPr>
        <w:pStyle w:val="Heading2"/>
        <w:spacing w:after="150" w:before="300"/>
      </w:pPr>
      <w:r>
        <w:rPr>
          <w:rFonts w:ascii="Arial" w:cs="Arial" w:eastAsia="Arial" w:hAnsi="Arial"/>
          <w:b/>
          <w:bCs/>
          <w:sz w:val="26"/>
          <w:szCs w:val="26"/>
        </w:rPr>
        <w:t xml:space="preserve">14.4 Page Navigation</w:t>
      </w:r>
    </w:p>
    <w:p>
      <w:pPr>
        <w:spacing w:after="80" w:before="80" w:line="320"/>
        <w:jc w:val="both"/>
      </w:pPr>
      <w:r>
        <w:rPr>
          <w:rFonts w:ascii="Arial" w:cs="Arial" w:eastAsia="Arial" w:hAnsi="Arial"/>
          <w:b w:val="false"/>
          <w:bCs w:val="false"/>
          <w:i w:val="false"/>
          <w:iCs w:val="false"/>
          <w:color w:val="000000"/>
          <w:sz w:val="22"/>
          <w:szCs w:val="22"/>
        </w:rPr>
        <w:t xml:space="preserve">The viewer provides Previous and Next buttons for pagination, a numeric input field that accepts direct page number entry, and displays the total page count. The goToPage() function clamps the requested page to the valid range [1, numPages] and updates both the currentPage state and the pageInput string state. The page input responds to both blur events and Enter key presses.</w:t>
      </w:r>
    </w:p>
    <w:p>
      <w:pPr>
        <w:pStyle w:val="Heading1"/>
        <w:spacing w:after="200" w:before="400"/>
      </w:pPr>
      <w:r>
        <w:rPr>
          <w:rFonts w:ascii="Arial" w:cs="Arial" w:eastAsia="Arial" w:hAnsi="Arial"/>
          <w:b/>
          <w:bCs/>
          <w:sz w:val="32"/>
          <w:szCs w:val="32"/>
        </w:rPr>
        <w:t xml:space="preserve">15. Authentication and Persistence</w:t>
      </w:r>
    </w:p>
    <w:p>
      <w:pPr>
        <w:pStyle w:val="Heading2"/>
        <w:spacing w:after="150" w:before="300"/>
      </w:pPr>
      <w:r>
        <w:rPr>
          <w:rFonts w:ascii="Arial" w:cs="Arial" w:eastAsia="Arial" w:hAnsi="Arial"/>
          <w:b/>
          <w:bCs/>
          <w:sz w:val="26"/>
          <w:szCs w:val="26"/>
        </w:rPr>
        <w:t xml:space="preserve">15.1 Authentication Flow</w:t>
      </w:r>
    </w:p>
    <w:p>
      <w:pPr>
        <w:spacing w:after="80" w:before="80" w:line="320"/>
        <w:jc w:val="both"/>
      </w:pPr>
      <w:r>
        <w:rPr>
          <w:rFonts w:ascii="Arial" w:cs="Arial" w:eastAsia="Arial" w:hAnsi="Arial"/>
          <w:b w:val="false"/>
          <w:bCs w:val="false"/>
          <w:i w:val="false"/>
          <w:iCs w:val="false"/>
          <w:color w:val="000000"/>
          <w:sz w:val="22"/>
          <w:szCs w:val="22"/>
        </w:rPr>
        <w:t xml:space="preserve">Authentication is implemented using Supabase Auth with the Google OAuth 2.0 provider. The Auth component renders a 'Sign in with Google' button that calls supabase.auth.signInWithOAuth() with the 'google' provider and a redirectTo URL derived from the NEXT_PUBLIC_SITE_URL environment variable, defaulting to http://localhost:3000. Supabase handles the OAuth redirect flow, exchanging the authorisation code for a session token, and the user is returned to the frontend application with an active session. The auth state change subscription in page.tsx detects the new session and updates the user state. The Auth component displays the user's Google avatar and display name when signed in, along with a Sign Out button.</w:t>
      </w:r>
    </w:p>
    <w:p>
      <w:pPr>
        <w:pStyle w:val="Heading2"/>
        <w:spacing w:after="150" w:before="300"/>
      </w:pPr>
      <w:r>
        <w:rPr>
          <w:rFonts w:ascii="Arial" w:cs="Arial" w:eastAsia="Arial" w:hAnsi="Arial"/>
          <w:b/>
          <w:bCs/>
          <w:sz w:val="26"/>
          <w:szCs w:val="26"/>
        </w:rPr>
        <w:t xml:space="preserve">15.2 History Persistence</w:t>
      </w:r>
    </w:p>
    <w:p>
      <w:pPr>
        <w:spacing w:after="80" w:before="80" w:line="320"/>
        <w:jc w:val="both"/>
      </w:pPr>
      <w:r>
        <w:rPr>
          <w:rFonts w:ascii="Arial" w:cs="Arial" w:eastAsia="Arial" w:hAnsi="Arial"/>
          <w:b w:val="false"/>
          <w:bCs w:val="false"/>
          <w:i w:val="false"/>
          <w:iCs w:val="false"/>
          <w:color w:val="000000"/>
          <w:sz w:val="22"/>
          <w:szCs w:val="22"/>
        </w:rPr>
        <w:t xml:space="preserve">When a compilation produces a PDF and the user is authenticated, the saveToHistory() function is called asynchronously. It uploads the PDF Blob to Supabase Storage in the 'pdfs' bucket under a path composed of the user's UUID and the current timestamp in milliseconds, formatted as {user_id}/{timestamp}.pdf. After the upload, it retrieves the public URL of the stored PDF from the Supabase storage API and inserts a record into the 'conversions' table containing the user_id, the LaTeX source code, and the public PDF URL. The created_at field is expected to be set automatically by a database default value. Errors in the save operation are logged to the browser console but do not surface to the user interface, meaning a failed save is silent.</w:t>
      </w:r>
    </w:p>
    <w:p>
      <w:pPr>
        <w:pStyle w:val="Heading2"/>
        <w:spacing w:after="150" w:before="300"/>
      </w:pPr>
      <w:r>
        <w:rPr>
          <w:rFonts w:ascii="Arial" w:cs="Arial" w:eastAsia="Arial" w:hAnsi="Arial"/>
          <w:b/>
          <w:bCs/>
          <w:sz w:val="26"/>
          <w:szCs w:val="26"/>
        </w:rPr>
        <w:t xml:space="preserve">15.3 History Display and Restoration</w:t>
      </w:r>
    </w:p>
    <w:p>
      <w:pPr>
        <w:spacing w:after="80" w:before="80" w:line="320"/>
        <w:jc w:val="both"/>
      </w:pPr>
      <w:r>
        <w:rPr>
          <w:rFonts w:ascii="Arial" w:cs="Arial" w:eastAsia="Arial" w:hAnsi="Arial"/>
          <w:b w:val="false"/>
          <w:bCs w:val="false"/>
          <w:i w:val="false"/>
          <w:iCs w:val="false"/>
          <w:color w:val="000000"/>
          <w:sz w:val="22"/>
          <w:szCs w:val="22"/>
        </w:rPr>
        <w:t xml:space="preserve">The History component fetches the user's twenty most recent conversion records from the conversions table ordered by created_at descending, when the component's accordion panel is opened. Each record displays the first sixty characters of the LaTeX code in monospace font and the formatted date and time of the conversion. A 'Restore' button triggers the handleRestore() callback in the parent, which populates the LaTeX textarea with the stored code and switches to the LaTeX Code tab. A 'Delete' button calls supabase.from('conversions').delete().eq('id', id), which removes the database record but does not delete the corresponding PDF file from Supabase Storage, resulting in orphaned storage objects accumulating over time.</w:t>
      </w:r>
    </w:p>
    <w:p>
      <w:r>
        <w:br w:type="page"/>
      </w:r>
    </w:p>
    <w:p>
      <w:pPr>
        <w:pStyle w:val="Heading1"/>
        <w:spacing w:after="200" w:before="400"/>
      </w:pPr>
      <w:r>
        <w:rPr>
          <w:rFonts w:ascii="Arial" w:cs="Arial" w:eastAsia="Arial" w:hAnsi="Arial"/>
          <w:b/>
          <w:bCs/>
          <w:sz w:val="32"/>
          <w:szCs w:val="32"/>
        </w:rPr>
        <w:t xml:space="preserve">16. Database and Storage Model</w:t>
      </w:r>
    </w:p>
    <w:p>
      <w:pPr>
        <w:pStyle w:val="Heading2"/>
        <w:spacing w:after="150" w:before="300"/>
      </w:pPr>
      <w:r>
        <w:rPr>
          <w:rFonts w:ascii="Arial" w:cs="Arial" w:eastAsia="Arial" w:hAnsi="Arial"/>
          <w:b/>
          <w:bCs/>
          <w:sz w:val="26"/>
          <w:szCs w:val="26"/>
        </w:rPr>
        <w:t xml:space="preserve">16.1 Expected Schema</w:t>
      </w:r>
    </w:p>
    <w:p>
      <w:pPr>
        <w:spacing w:after="80" w:before="80" w:line="320"/>
        <w:jc w:val="both"/>
      </w:pPr>
      <w:r>
        <w:rPr>
          <w:rFonts w:ascii="Arial" w:cs="Arial" w:eastAsia="Arial" w:hAnsi="Arial"/>
          <w:b w:val="false"/>
          <w:bCs w:val="false"/>
          <w:i w:val="false"/>
          <w:iCs w:val="false"/>
          <w:color w:val="000000"/>
          <w:sz w:val="22"/>
          <w:szCs w:val="22"/>
        </w:rPr>
        <w:t xml:space="preserve">The application code assumes the existence of a Supabase PostgreSQL table named 'conversions' with at minimum the following columns: id (UUID or integer primary key), user_id (UUID, foreign key referencing the Supabase auth.users table), latex_code (text), pdf_url (text), and created_at (timestamp with time zone, defaulting to now()). No SQL migration files, schema definition scripts, or Supabase configuration files are present in the repository. The storage bucket named 'pdfs' is assumed to exist and to be configured as either publicly readable (since the code retrieves a publicUrl) or with an appropriate storage policy granting read access to the public and write access to authenticated users.</w:t>
      </w:r>
    </w:p>
    <w:p>
      <w:pPr>
        <w:pStyle w:val="Heading2"/>
        <w:spacing w:after="150" w:before="300"/>
      </w:pPr>
      <w:r>
        <w:rPr>
          <w:rFonts w:ascii="Arial" w:cs="Arial" w:eastAsia="Arial" w:hAnsi="Arial"/>
          <w:b/>
          <w:bCs/>
          <w:sz w:val="26"/>
          <w:szCs w:val="26"/>
        </w:rPr>
        <w:t xml:space="preserve">16.2 Row Level Security Assumptions</w:t>
      </w:r>
    </w:p>
    <w:p>
      <w:pPr>
        <w:spacing w:after="80" w:before="80" w:line="320"/>
        <w:jc w:val="both"/>
      </w:pPr>
      <w:r>
        <w:rPr>
          <w:rFonts w:ascii="Arial" w:cs="Arial" w:eastAsia="Arial" w:hAnsi="Arial"/>
          <w:b w:val="false"/>
          <w:bCs w:val="false"/>
          <w:i w:val="false"/>
          <w:iCs w:val="false"/>
          <w:color w:val="000000"/>
          <w:sz w:val="22"/>
          <w:szCs w:val="22"/>
        </w:rPr>
        <w:t xml:space="preserve">The application uses the Supabase anon key for all database operations from the frontend, including INSERT and DELETE on the conversions table. This is standard for Supabase applications protected by Row Level Security (RLS) policies, where the anon key is intended for use by authenticated users subject to RLS. The code contains no explicit reference to RLS configuration, and no middleware or server-side query intermediary is used. If RLS is not properly configured on the Supabase project, the conversions table could be readable or writable by any user possessing the anon key, which is publicly exposed in the Next.js build as an environment variable prefixed with NEXT_PUBLIC_.</w:t>
      </w:r>
    </w:p>
    <w:p>
      <w:pPr>
        <w:pStyle w:val="Heading2"/>
        <w:spacing w:after="150" w:before="300"/>
      </w:pPr>
      <w:r>
        <w:rPr>
          <w:rFonts w:ascii="Arial" w:cs="Arial" w:eastAsia="Arial" w:hAnsi="Arial"/>
          <w:b/>
          <w:bCs/>
          <w:sz w:val="26"/>
          <w:szCs w:val="26"/>
        </w:rPr>
        <w:t xml:space="preserve">16.3 Data Flow into Supabase</w:t>
      </w:r>
    </w:p>
    <w:p>
      <w:pPr>
        <w:spacing w:after="80" w:before="80" w:line="320"/>
        <w:jc w:val="both"/>
      </w:pPr>
      <w:r>
        <w:rPr>
          <w:rFonts w:ascii="Arial" w:cs="Arial" w:eastAsia="Arial" w:hAnsi="Arial"/>
          <w:b w:val="false"/>
          <w:bCs w:val="false"/>
          <w:i w:val="false"/>
          <w:iCs w:val="false"/>
          <w:color w:val="000000"/>
          <w:sz w:val="22"/>
          <w:szCs w:val="22"/>
        </w:rPr>
        <w:t xml:space="preserve">Data enters Supabase through two channels: the storage upload channel, which receives a PDF Blob from the browser's compile response, and the database channel, which receives a JSON insert from the browser after the storage upload completes. Both operations are performed directly from the browser using the Supabase client SDK with the user's access token from the active session. The backend does not interact with Supabase directly; all Supabase communication originates from the frontend.</w:t>
      </w:r>
    </w:p>
    <w:p>
      <w:pPr>
        <w:pStyle w:val="Heading1"/>
        <w:spacing w:after="200" w:before="400"/>
      </w:pPr>
      <w:r>
        <w:rPr>
          <w:rFonts w:ascii="Arial" w:cs="Arial" w:eastAsia="Arial" w:hAnsi="Arial"/>
          <w:b/>
          <w:bCs/>
          <w:sz w:val="32"/>
          <w:szCs w:val="32"/>
        </w:rPr>
        <w:t xml:space="preserve">17. Deployment and Environment Setup</w:t>
      </w:r>
    </w:p>
    <w:p>
      <w:pPr>
        <w:pStyle w:val="Heading2"/>
        <w:spacing w:after="150" w:before="300"/>
      </w:pPr>
      <w:r>
        <w:rPr>
          <w:rFonts w:ascii="Arial" w:cs="Arial" w:eastAsia="Arial" w:hAnsi="Arial"/>
          <w:b/>
          <w:bCs/>
          <w:sz w:val="26"/>
          <w:szCs w:val="26"/>
        </w:rPr>
        <w:t xml:space="preserve">17.1 Backend Deployment</w:t>
      </w:r>
    </w:p>
    <w:p>
      <w:pPr>
        <w:spacing w:after="80" w:before="80" w:line="320"/>
        <w:jc w:val="both"/>
      </w:pPr>
      <w:r>
        <w:rPr>
          <w:rFonts w:ascii="Arial" w:cs="Arial" w:eastAsia="Arial" w:hAnsi="Arial"/>
          <w:b w:val="false"/>
          <w:bCs w:val="false"/>
          <w:i w:val="false"/>
          <w:iCs w:val="false"/>
          <w:color w:val="000000"/>
          <w:sz w:val="22"/>
          <w:szCs w:val="22"/>
        </w:rPr>
        <w:t xml:space="preserve">The build.sh script installs system packages via apt-get and Python packages via pip. The backend is started with Uvicorn, typically via uvicorn backend.main:app --host 0.0.0.0 --port 8000 or equivalent. The backend requires the GROQ_API_KEY environment variable to be set in a .env file in the working directory or as a system environment variable. No other backend environment variables are explicitly required by the source code.</w:t>
      </w:r>
    </w:p>
    <w:p>
      <w:pPr>
        <w:pStyle w:val="Heading2"/>
        <w:spacing w:after="150" w:before="300"/>
      </w:pPr>
      <w:r>
        <w:rPr>
          <w:rFonts w:ascii="Arial" w:cs="Arial" w:eastAsia="Arial" w:hAnsi="Arial"/>
          <w:b/>
          <w:bCs/>
          <w:sz w:val="26"/>
          <w:szCs w:val="26"/>
        </w:rPr>
        <w:t xml:space="preserve">17.2 Frontend Deployment</w:t>
      </w:r>
    </w:p>
    <w:p>
      <w:pPr>
        <w:spacing w:after="80" w:before="80" w:line="320"/>
        <w:jc w:val="both"/>
      </w:pPr>
      <w:r>
        <w:rPr>
          <w:rFonts w:ascii="Arial" w:cs="Arial" w:eastAsia="Arial" w:hAnsi="Arial"/>
          <w:b w:val="false"/>
          <w:bCs w:val="false"/>
          <w:i w:val="false"/>
          <w:iCs w:val="false"/>
          <w:color w:val="000000"/>
          <w:sz w:val="22"/>
          <w:szCs w:val="22"/>
        </w:rPr>
        <w:t xml:space="preserve">The frontend is deployed using the standard Next.js build pipeline: npm install, followed by npm run build, followed by npm run start (or deployment to a platform such as Vercel). The frontend requires three environment variables: NEXT_PUBLIC_BACKEND_URL (the URL of the deployed FastAPI backend, required for all API calls), NEXT_PUBLIC_SUPABASE_URL (the Supabase project URL), and NEXT_PUBLIC_SUPABASE_ANON_KEY (the Supabase anon key). An additional variable, NEXT_PUBLIC_SITE_URL, is used as the OAuth redirect target; if absent, it defaults to http://localhost:3000, which must be overridden in production to the actual deployed frontend URL. All four of these variables are exposed in the browser bundle as they carry the NEXT_PUBLIC_ prefix.</w:t>
      </w:r>
    </w:p>
    <w:p>
      <w:pPr>
        <w:pStyle w:val="Heading2"/>
        <w:spacing w:after="150" w:before="300"/>
      </w:pPr>
      <w:r>
        <w:rPr>
          <w:rFonts w:ascii="Arial" w:cs="Arial" w:eastAsia="Arial" w:hAnsi="Arial"/>
          <w:b/>
          <w:bCs/>
          <w:sz w:val="26"/>
          <w:szCs w:val="26"/>
        </w:rPr>
        <w:t xml:space="preserve">17.3 Platform Inconsistency</w:t>
      </w:r>
    </w:p>
    <w:p>
      <w:pPr>
        <w:spacing w:after="80" w:before="80" w:line="320"/>
        <w:jc w:val="both"/>
      </w:pPr>
      <w:r>
        <w:rPr>
          <w:rFonts w:ascii="Arial" w:cs="Arial" w:eastAsia="Arial" w:hAnsi="Arial"/>
          <w:b w:val="false"/>
          <w:bCs w:val="false"/>
          <w:i w:val="false"/>
          <w:iCs w:val="false"/>
          <w:color w:val="000000"/>
          <w:sz w:val="22"/>
          <w:szCs w:val="22"/>
        </w:rPr>
        <w:t xml:space="preserve">The most significant deployment consideration is the platform-branching logic in the backend. The application behaves fundamentally differently on Windows and Linux. On Windows it uses local Tesseract for OCR and local pdflatex for compilation; on Linux it uses Groq for OCR and the YtoTech service for compilation. The build.sh script installs a full LaTeX distribution on the Linux host, yet this distribution is not used by the Linux code path. This inconsistency wastes build time and storage space on cloud deployments and could be a source of confusion for developers or system administrators unfamiliar with the codebase. A future version of the backend should either unify the compilation path to use the locally installed pdflatex on all platforms, or explicitly remove the texlive installation from the build script if the YtoTech delegation model is the intended production architecture.</w:t>
      </w:r>
    </w:p>
    <w:p>
      <w:r>
        <w:br w:type="page"/>
      </w:r>
    </w:p>
    <w:p>
      <w:pPr>
        <w:pStyle w:val="Heading1"/>
        <w:spacing w:after="200" w:before="400"/>
      </w:pPr>
      <w:r>
        <w:rPr>
          <w:rFonts w:ascii="Arial" w:cs="Arial" w:eastAsia="Arial" w:hAnsi="Arial"/>
          <w:b/>
          <w:bCs/>
          <w:sz w:val="32"/>
          <w:szCs w:val="32"/>
        </w:rPr>
        <w:t xml:space="preserve">18. Module-by-Module Documentation</w:t>
      </w:r>
    </w:p>
    <w:p>
      <w:pPr>
        <w:pStyle w:val="Heading2"/>
        <w:spacing w:after="150" w:before="300"/>
      </w:pPr>
      <w:r>
        <w:rPr>
          <w:rFonts w:ascii="Arial" w:cs="Arial" w:eastAsia="Arial" w:hAnsi="Arial"/>
          <w:b/>
          <w:bCs/>
          <w:sz w:val="26"/>
          <w:szCs w:val="26"/>
        </w:rPr>
        <w:t xml:space="preserve">18.1 backend/main.py — FastAPI Application</w:t>
      </w:r>
    </w:p>
    <w:p>
      <w:pPr>
        <w:spacing w:after="80" w:before="80" w:line="320"/>
        <w:jc w:val="both"/>
      </w:pPr>
      <w:r>
        <w:rPr>
          <w:rFonts w:ascii="Arial" w:cs="Arial" w:eastAsia="Arial" w:hAnsi="Arial"/>
          <w:b w:val="false"/>
          <w:bCs w:val="false"/>
          <w:i w:val="false"/>
          <w:iCs w:val="false"/>
          <w:color w:val="000000"/>
          <w:sz w:val="22"/>
          <w:szCs w:val="22"/>
        </w:rPr>
        <w:t xml:space="preserve">Purpose: The entire backend of the application, providing /upload and /compile HTTP endpoints, OCR routing logic, LaTeX sanitisation, static analysis, compilation orchestration, caching, and error parsing.</w:t>
      </w:r>
    </w:p>
    <w:p>
      <w:pPr>
        <w:spacing w:after="80" w:before="80" w:line="320"/>
        <w:jc w:val="both"/>
      </w:pPr>
      <w:r>
        <w:rPr>
          <w:rFonts w:ascii="Arial" w:cs="Arial" w:eastAsia="Arial" w:hAnsi="Arial"/>
          <w:b w:val="false"/>
          <w:bCs w:val="false"/>
          <w:i w:val="false"/>
          <w:iCs w:val="false"/>
          <w:color w:val="000000"/>
          <w:sz w:val="22"/>
          <w:szCs w:val="22"/>
        </w:rPr>
        <w:t xml:space="preserve">Key functions: get_cache_key() computes an MD5 hash of the LaTeX string. sanitise_latex() applies regex-based blocking of dangerous LaTeX commands. parse_latex_errors() extracts structured error objects from pdflatex stdout or YtoTech log content. check_latex_warnings() invokes chktex and parses its output (Windows only). check_outdated_packages() scans source for deprecated package names and common syntax errors. replace_images_with_placeholders() substitutes \includegraphics directives with boxed placeholders. get_tesseract_confidence() computes average OCR confidence. groq_vision_ocr() calls the Groq Llama 4 Scout vision API. auto_ocr() routes between Tesseract and Groq based on platform and confidence. The /upload endpoint validates the file and invokes auto_ocr(). The /compile endpoint applies sanitisation, static analysis, cache lookup, placeholder substitution, and compilation.</w:t>
      </w:r>
    </w:p>
    <w:p>
      <w:pPr>
        <w:spacing w:after="80" w:before="80" w:line="320"/>
        <w:jc w:val="both"/>
      </w:pPr>
      <w:r>
        <w:rPr>
          <w:rFonts w:ascii="Arial" w:cs="Arial" w:eastAsia="Arial" w:hAnsi="Arial"/>
          <w:b w:val="false"/>
          <w:bCs w:val="false"/>
          <w:i w:val="false"/>
          <w:iCs w:val="false"/>
          <w:color w:val="000000"/>
          <w:sz w:val="22"/>
          <w:szCs w:val="22"/>
        </w:rPr>
        <w:t xml:space="preserve">Design decisions: The decision to use a single large module rather than a structured package with separate router, service, and utility modules is appropriate for a prototype but limits maintainability. The in-memory cache is a pragmatic choice that avoids a Redis dependency at the cost of state loss on restart. Limitations: The module has no authentication layer; any caller with network access to the backend can invoke /compile without restriction. Rate limiting is partially addressed in the frontend code (a RATE_LIMIT constant of 10 is declared but not enforced server-side). The backend imposes no per-request rate limiting.</w:t>
      </w:r>
    </w:p>
    <w:p>
      <w:pPr>
        <w:pStyle w:val="Heading2"/>
        <w:spacing w:after="150" w:before="300"/>
      </w:pPr>
      <w:r>
        <w:rPr>
          <w:rFonts w:ascii="Arial" w:cs="Arial" w:eastAsia="Arial" w:hAnsi="Arial"/>
          <w:b/>
          <w:bCs/>
          <w:sz w:val="26"/>
          <w:szCs w:val="26"/>
        </w:rPr>
        <w:t xml:space="preserve">18.2 frontend/app/page.tsx — Root Page Component</w:t>
      </w:r>
    </w:p>
    <w:p>
      <w:pPr>
        <w:spacing w:after="80" w:before="80" w:line="320"/>
        <w:jc w:val="both"/>
      </w:pPr>
      <w:r>
        <w:rPr>
          <w:rFonts w:ascii="Arial" w:cs="Arial" w:eastAsia="Arial" w:hAnsi="Arial"/>
          <w:b w:val="false"/>
          <w:bCs w:val="false"/>
          <w:i w:val="false"/>
          <w:iCs w:val="false"/>
          <w:color w:val="000000"/>
          <w:sz w:val="22"/>
          <w:szCs w:val="22"/>
        </w:rPr>
        <w:t xml:space="preserve">Purpose: The primary application controller managing all user-facing state, file upload, OCR display, LaTeX editing, compilation triggering, result display, and Supabase history persistence.</w:t>
      </w:r>
    </w:p>
    <w:p>
      <w:pPr>
        <w:spacing w:after="80" w:before="80" w:line="320"/>
        <w:jc w:val="both"/>
      </w:pPr>
      <w:r>
        <w:rPr>
          <w:rFonts w:ascii="Arial" w:cs="Arial" w:eastAsia="Arial" w:hAnsi="Arial"/>
          <w:b w:val="false"/>
          <w:bCs w:val="false"/>
          <w:i w:val="false"/>
          <w:iCs w:val="false"/>
          <w:color w:val="000000"/>
          <w:sz w:val="22"/>
          <w:szCs w:val="22"/>
        </w:rPr>
        <w:t xml:space="preserve">Inputs: User file input events, drag-and-drop events, textarea edits, tab click events, the recompile button click. Outputs: API requests to the backend, API requests to Supabase, rendered JSX including upload zone, tab bar, error panels, LaTeX textarea, and PDF viewer wrapper.</w:t>
      </w:r>
    </w:p>
    <w:p>
      <w:pPr>
        <w:spacing w:after="80" w:before="80" w:line="320"/>
        <w:jc w:val="both"/>
      </w:pPr>
      <w:r>
        <w:rPr>
          <w:rFonts w:ascii="Arial" w:cs="Arial" w:eastAsia="Arial" w:hAnsi="Arial"/>
          <w:b w:val="false"/>
          <w:bCs w:val="false"/>
          <w:i w:val="false"/>
          <w:iCs w:val="false"/>
          <w:color w:val="000000"/>
          <w:sz w:val="22"/>
          <w:szCs w:val="22"/>
        </w:rPr>
        <w:t xml:space="preserve">Limitations: The component does not validate file type or size before upload. Auto-compilation is triggered unconditionally on OCR completion, meaning a failed or empty OCR result still triggers a compilation attempt. The saveToHistory() function fails silently, providing no user feedback on storage errors.</w:t>
      </w:r>
    </w:p>
    <w:p>
      <w:pPr>
        <w:pStyle w:val="Heading2"/>
        <w:spacing w:after="150" w:before="300"/>
      </w:pPr>
      <w:r>
        <w:rPr>
          <w:rFonts w:ascii="Arial" w:cs="Arial" w:eastAsia="Arial" w:hAnsi="Arial"/>
          <w:b/>
          <w:bCs/>
          <w:sz w:val="26"/>
          <w:szCs w:val="26"/>
        </w:rPr>
        <w:t xml:space="preserve">18.3 frontend/app/components/Auth.tsx — Authentication Component</w:t>
      </w:r>
    </w:p>
    <w:p>
      <w:pPr>
        <w:spacing w:after="80" w:before="80" w:line="320"/>
        <w:jc w:val="both"/>
      </w:pPr>
      <w:r>
        <w:rPr>
          <w:rFonts w:ascii="Arial" w:cs="Arial" w:eastAsia="Arial" w:hAnsi="Arial"/>
          <w:b w:val="false"/>
          <w:bCs w:val="false"/>
          <w:i w:val="false"/>
          <w:iCs w:val="false"/>
          <w:color w:val="000000"/>
          <w:sz w:val="22"/>
          <w:szCs w:val="22"/>
        </w:rPr>
        <w:t xml:space="preserve">Purpose: Provides the sign-in and sign-out UI. Renders a Google OAuth sign-in button for unauthenticated users and a user avatar, display name, and sign-out button for authenticated users.</w:t>
      </w:r>
    </w:p>
    <w:p>
      <w:pPr>
        <w:spacing w:after="80" w:before="80" w:line="320"/>
        <w:jc w:val="both"/>
      </w:pPr>
      <w:r>
        <w:rPr>
          <w:rFonts w:ascii="Arial" w:cs="Arial" w:eastAsia="Arial" w:hAnsi="Arial"/>
          <w:b w:val="false"/>
          <w:bCs w:val="false"/>
          <w:i w:val="false"/>
          <w:iCs w:val="false"/>
          <w:color w:val="000000"/>
          <w:sz w:val="22"/>
          <w:szCs w:val="22"/>
        </w:rPr>
        <w:t xml:space="preserve">Inputs: The user prop (Supabase User object or null) and an onAuthChange callback. Outputs: Supabase OAuth redirect or session termination. Limitations: The component supports only the Google provider. Adding additional providers (GitHub, email/password) would require modifications to this component. The onAuthChange callback only sets the parent user state to null on sign-out; it does not re-fetch a new session, relying on the parent's auth state subscription to handle any state inconsistencies.</w:t>
      </w:r>
    </w:p>
    <w:p>
      <w:pPr>
        <w:pStyle w:val="Heading2"/>
        <w:spacing w:after="150" w:before="300"/>
      </w:pPr>
      <w:r>
        <w:rPr>
          <w:rFonts w:ascii="Arial" w:cs="Arial" w:eastAsia="Arial" w:hAnsi="Arial"/>
          <w:b/>
          <w:bCs/>
          <w:sz w:val="26"/>
          <w:szCs w:val="26"/>
        </w:rPr>
        <w:t xml:space="preserve">18.4 frontend/app/components/History.tsx — Conversion History Component</w:t>
      </w:r>
    </w:p>
    <w:p>
      <w:pPr>
        <w:spacing w:after="80" w:before="80" w:line="320"/>
        <w:jc w:val="both"/>
      </w:pPr>
      <w:r>
        <w:rPr>
          <w:rFonts w:ascii="Arial" w:cs="Arial" w:eastAsia="Arial" w:hAnsi="Arial"/>
          <w:b w:val="false"/>
          <w:bCs w:val="false"/>
          <w:i w:val="false"/>
          <w:iCs w:val="false"/>
          <w:color w:val="000000"/>
          <w:sz w:val="22"/>
          <w:szCs w:val="22"/>
        </w:rPr>
        <w:t xml:space="preserve">Purpose: Displays the authenticated user's twenty most recent conversion records from the Supabase conversions table, with options to restore or delete each entry.</w:t>
      </w:r>
    </w:p>
    <w:p>
      <w:pPr>
        <w:spacing w:after="80" w:before="80" w:line="320"/>
        <w:jc w:val="both"/>
      </w:pPr>
      <w:r>
        <w:rPr>
          <w:rFonts w:ascii="Arial" w:cs="Arial" w:eastAsia="Arial" w:hAnsi="Arial"/>
          <w:b w:val="false"/>
          <w:bCs w:val="false"/>
          <w:i w:val="false"/>
          <w:iCs w:val="false"/>
          <w:color w:val="000000"/>
          <w:sz w:val="22"/>
          <w:szCs w:val="22"/>
        </w:rPr>
        <w:t xml:space="preserve">Inputs: The user prop and an onRestore callback. Outputs: Supabase SELECT and DELETE queries; onRestore(latexCode) callback invocation. Key limitations: The delete operation removes only the database record, not the associated PDF in Supabase Storage. The component fetches history only when the panel is opened; it does not update in real time and must be re-opened to reflect new conversions made during the same session.</w:t>
      </w:r>
    </w:p>
    <w:p>
      <w:pPr>
        <w:pStyle w:val="Heading2"/>
        <w:spacing w:after="150" w:before="300"/>
      </w:pPr>
      <w:r>
        <w:rPr>
          <w:rFonts w:ascii="Arial" w:cs="Arial" w:eastAsia="Arial" w:hAnsi="Arial"/>
          <w:b/>
          <w:bCs/>
          <w:sz w:val="26"/>
          <w:szCs w:val="26"/>
        </w:rPr>
        <w:t xml:space="preserve">18.5 frontend/app/components/PdfViewer.tsx — PDF Rendering Component</w:t>
      </w:r>
    </w:p>
    <w:p>
      <w:pPr>
        <w:spacing w:after="80" w:before="80" w:line="320"/>
        <w:jc w:val="both"/>
      </w:pPr>
      <w:r>
        <w:rPr>
          <w:rFonts w:ascii="Arial" w:cs="Arial" w:eastAsia="Arial" w:hAnsi="Arial"/>
          <w:b w:val="false"/>
          <w:bCs w:val="false"/>
          <w:i w:val="false"/>
          <w:iCs w:val="false"/>
          <w:color w:val="000000"/>
          <w:sz w:val="22"/>
          <w:szCs w:val="22"/>
        </w:rPr>
        <w:t xml:space="preserve">Purpose: Renders a compiled PDF document in the browser using the PDF.js library, with page navigation, zoom controls, and mobile pinch-to-zoom support.</w:t>
      </w:r>
    </w:p>
    <w:p>
      <w:pPr>
        <w:spacing w:after="80" w:before="80" w:line="320"/>
        <w:jc w:val="both"/>
      </w:pPr>
      <w:r>
        <w:rPr>
          <w:rFonts w:ascii="Arial" w:cs="Arial" w:eastAsia="Arial" w:hAnsi="Arial"/>
          <w:b w:val="false"/>
          <w:bCs w:val="false"/>
          <w:i w:val="false"/>
          <w:iCs w:val="false"/>
          <w:color w:val="000000"/>
          <w:sz w:val="22"/>
          <w:szCs w:val="22"/>
        </w:rPr>
        <w:t xml:space="preserve">Inputs: A pdfUrl string (an object URL pointing to a PDF Blob). Outputs: A rendered HTML canvas displaying the current page of the document. Key design decisions: The PDF.js worker is loaded from the Cloudflare CDN rather than bundled locally, which reduces the JavaScript bundle size but requires CDN connectivity. The device pixel ratio is used to set canvas dimensions, providing crisp rendering on retina displays. Limitations: The component renders one page at a time; it does not support continuous scrolling across all pages. The pinch-to-zoom implementation does not prevent the browser's native pinch-to-zoom from also firing on some mobile browsers, potentially causing conflicting zoom levels.</w:t>
      </w:r>
    </w:p>
    <w:p>
      <w:pPr>
        <w:pStyle w:val="Heading2"/>
        <w:spacing w:after="150" w:before="300"/>
      </w:pPr>
      <w:r>
        <w:rPr>
          <w:rFonts w:ascii="Arial" w:cs="Arial" w:eastAsia="Arial" w:hAnsi="Arial"/>
          <w:b/>
          <w:bCs/>
          <w:sz w:val="26"/>
          <w:szCs w:val="26"/>
        </w:rPr>
        <w:t xml:space="preserve">18.6 frontend/lib/supabase.ts — Supabase Client Singleton</w:t>
      </w:r>
    </w:p>
    <w:p>
      <w:pPr>
        <w:spacing w:after="80" w:before="80" w:line="320"/>
        <w:jc w:val="both"/>
      </w:pPr>
      <w:r>
        <w:rPr>
          <w:rFonts w:ascii="Arial" w:cs="Arial" w:eastAsia="Arial" w:hAnsi="Arial"/>
          <w:b w:val="false"/>
          <w:bCs w:val="false"/>
          <w:i w:val="false"/>
          <w:iCs w:val="false"/>
          <w:color w:val="000000"/>
          <w:sz w:val="22"/>
          <w:szCs w:val="22"/>
        </w:rPr>
        <w:t xml:space="preserve">Purpose: Initialises and exports a single Supabase client instance, ensuring that all components in the application share the same client with the same session state.</w:t>
      </w:r>
    </w:p>
    <w:p>
      <w:pPr>
        <w:spacing w:after="80" w:before="80" w:line="320"/>
        <w:jc w:val="both"/>
      </w:pPr>
      <w:r>
        <w:rPr>
          <w:rFonts w:ascii="Arial" w:cs="Arial" w:eastAsia="Arial" w:hAnsi="Arial"/>
          <w:b w:val="false"/>
          <w:bCs w:val="false"/>
          <w:i w:val="false"/>
          <w:iCs w:val="false"/>
          <w:color w:val="000000"/>
          <w:sz w:val="22"/>
          <w:szCs w:val="22"/>
        </w:rPr>
        <w:t xml:space="preserve">The module reads NEXT_PUBLIC_SUPABASE_URL and NEXT_PUBLIC_SUPABASE_ANON_KEY from the Next.js environment and passes them to createClient(). The non-null assertion operator (!) is used on both environment variables, meaning the application will fail at runtime with a TypeScript type error message if either variable is absent. There is no defensive runtime check or helpful error message for this condition.</w:t>
      </w:r>
    </w:p>
    <w:p>
      <w:r>
        <w:br w:type="page"/>
      </w:r>
    </w:p>
    <w:p>
      <w:pPr>
        <w:pStyle w:val="Heading1"/>
        <w:spacing w:after="200" w:before="400"/>
      </w:pPr>
      <w:r>
        <w:rPr>
          <w:rFonts w:ascii="Arial" w:cs="Arial" w:eastAsia="Arial" w:hAnsi="Arial"/>
          <w:b/>
          <w:bCs/>
          <w:sz w:val="32"/>
          <w:szCs w:val="32"/>
        </w:rPr>
        <w:t xml:space="preserve">19. Strengths of the Project</w:t>
      </w:r>
    </w:p>
    <w:p>
      <w:pPr>
        <w:pStyle w:val="Heading2"/>
        <w:spacing w:after="150" w:before="300"/>
      </w:pPr>
      <w:r>
        <w:rPr>
          <w:rFonts w:ascii="Arial" w:cs="Arial" w:eastAsia="Arial" w:hAnsi="Arial"/>
          <w:b/>
          <w:bCs/>
          <w:sz w:val="26"/>
          <w:szCs w:val="26"/>
        </w:rPr>
        <w:t xml:space="preserve">19.1 Accessibility for Students Without Local LaTeX Installations</w:t>
      </w:r>
    </w:p>
    <w:p>
      <w:pPr>
        <w:spacing w:after="80" w:before="80" w:line="320"/>
        <w:jc w:val="both"/>
      </w:pPr>
      <w:r>
        <w:rPr>
          <w:rFonts w:ascii="Arial" w:cs="Arial" w:eastAsia="Arial" w:hAnsi="Arial"/>
          <w:b w:val="false"/>
          <w:bCs w:val="false"/>
          <w:i w:val="false"/>
          <w:iCs w:val="false"/>
          <w:color w:val="000000"/>
          <w:sz w:val="22"/>
          <w:szCs w:val="22"/>
        </w:rPr>
        <w:t xml:space="preserve">The primary strength of the application is that it delivers a working LaTeX compilation pipeline accessible from any modern browser, requiring no software installation on the student's device. This is its defining value proposition and is genuinely useful for the target population. A student in a college computer lab who cannot install MiKTeX, cannot run Overleaf due to institutional network restrictions on external web services, or who is working from a mobile device can use this application to move from a photographed handwritten equation to a rendered PDF in a matter of seconds.</w:t>
      </w:r>
    </w:p>
    <w:p>
      <w:pPr>
        <w:pStyle w:val="Heading2"/>
        <w:spacing w:after="150" w:before="300"/>
      </w:pPr>
      <w:r>
        <w:rPr>
          <w:rFonts w:ascii="Arial" w:cs="Arial" w:eastAsia="Arial" w:hAnsi="Arial"/>
          <w:b/>
          <w:bCs/>
          <w:sz w:val="26"/>
          <w:szCs w:val="26"/>
        </w:rPr>
        <w:t xml:space="preserve">19.2 Dual OCR Strategy</w:t>
      </w:r>
    </w:p>
    <w:p>
      <w:pPr>
        <w:spacing w:after="80" w:before="80" w:line="320"/>
        <w:jc w:val="both"/>
      </w:pPr>
      <w:r>
        <w:rPr>
          <w:rFonts w:ascii="Arial" w:cs="Arial" w:eastAsia="Arial" w:hAnsi="Arial"/>
          <w:b w:val="false"/>
          <w:bCs w:val="false"/>
          <w:i w:val="false"/>
          <w:iCs w:val="false"/>
          <w:color w:val="000000"/>
          <w:sz w:val="22"/>
          <w:szCs w:val="22"/>
        </w:rPr>
        <w:t xml:space="preserve">The use of a confidence-gated dual OCR strategy — Tesseract for clear printed text on Windows and the Groq Llama 4 Scout vision model for all other cases — is architecturally sound. The Llama 4 Scout model has substantially better capability for understanding the visual structure of mathematical and LaTeX notation than a character-level OCR system. The fallback design means that in development environments where Tesseract is available, fast local OCR is preferred, while in production environments the more capable model is used.</w:t>
      </w:r>
    </w:p>
    <w:p>
      <w:pPr>
        <w:pStyle w:val="Heading2"/>
        <w:spacing w:after="150" w:before="300"/>
      </w:pPr>
      <w:r>
        <w:rPr>
          <w:rFonts w:ascii="Arial" w:cs="Arial" w:eastAsia="Arial" w:hAnsi="Arial"/>
          <w:b/>
          <w:bCs/>
          <w:sz w:val="26"/>
          <w:szCs w:val="26"/>
        </w:rPr>
        <w:t xml:space="preserve">19.3 Structured Error and Warning Feedback</w:t>
      </w:r>
    </w:p>
    <w:p>
      <w:pPr>
        <w:spacing w:after="80" w:before="80" w:line="320"/>
        <w:jc w:val="both"/>
      </w:pPr>
      <w:r>
        <w:rPr>
          <w:rFonts w:ascii="Arial" w:cs="Arial" w:eastAsia="Arial" w:hAnsi="Arial"/>
          <w:b w:val="false"/>
          <w:bCs w:val="false"/>
          <w:i w:val="false"/>
          <w:iCs w:val="false"/>
          <w:color w:val="000000"/>
          <w:sz w:val="22"/>
          <w:szCs w:val="22"/>
        </w:rPr>
        <w:t xml:space="preserve">The provision of structured, line-referenced error and warning feedback is pedagogically valuable. Rather than displaying a raw pdflatex log — which is several hundred lines of dense output that an inexperienced LaTeX user cannot readily parse — the application extracts the actionable error messages and presents them with line numbers and contextual code fragments. The deprecated package detection specifically addresses a common source of confusion for students who use LaTeX examples from older textbooks or internet tutorials.</w:t>
      </w:r>
    </w:p>
    <w:p>
      <w:pPr>
        <w:pStyle w:val="Heading2"/>
        <w:spacing w:after="150" w:before="300"/>
      </w:pPr>
      <w:r>
        <w:rPr>
          <w:rFonts w:ascii="Arial" w:cs="Arial" w:eastAsia="Arial" w:hAnsi="Arial"/>
          <w:b/>
          <w:bCs/>
          <w:sz w:val="26"/>
          <w:szCs w:val="26"/>
        </w:rPr>
        <w:t xml:space="preserve">19.4 Image Placeholder System</w:t>
      </w:r>
    </w:p>
    <w:p>
      <w:pPr>
        <w:spacing w:after="80" w:before="80" w:line="320"/>
        <w:jc w:val="both"/>
      </w:pPr>
      <w:r>
        <w:rPr>
          <w:rFonts w:ascii="Arial" w:cs="Arial" w:eastAsia="Arial" w:hAnsi="Arial"/>
          <w:b w:val="false"/>
          <w:bCs w:val="false"/>
          <w:i w:val="false"/>
          <w:iCs w:val="false"/>
          <w:color w:val="000000"/>
          <w:sz w:val="22"/>
          <w:szCs w:val="22"/>
        </w:rPr>
        <w:t xml:space="preserve">The automatic replacement of \includegraphics directives with placeholder boxes is a practically important feature. Without it, any LaTeX source that references an image file would fail to compile, as the compilation environment has no access to the student's image files. The placeholder system allows the document structure and layout to be previewed and verified even when image content is unavailable, which is the common case for a student photographing their LaTeX notes.</w:t>
      </w:r>
    </w:p>
    <w:p>
      <w:pPr>
        <w:pStyle w:val="Heading2"/>
        <w:spacing w:after="150" w:before="300"/>
      </w:pPr>
      <w:r>
        <w:rPr>
          <w:rFonts w:ascii="Arial" w:cs="Arial" w:eastAsia="Arial" w:hAnsi="Arial"/>
          <w:b/>
          <w:bCs/>
          <w:sz w:val="26"/>
          <w:szCs w:val="26"/>
        </w:rPr>
        <w:t xml:space="preserve">19.5 Mobile-First Responsiveness and Camera Access</w:t>
      </w:r>
    </w:p>
    <w:p>
      <w:pPr>
        <w:spacing w:after="80" w:before="80" w:line="320"/>
        <w:jc w:val="both"/>
      </w:pPr>
      <w:r>
        <w:rPr>
          <w:rFonts w:ascii="Arial" w:cs="Arial" w:eastAsia="Arial" w:hAnsi="Arial"/>
          <w:b w:val="false"/>
          <w:bCs w:val="false"/>
          <w:i w:val="false"/>
          <w:iCs w:val="false"/>
          <w:color w:val="000000"/>
          <w:sz w:val="22"/>
          <w:szCs w:val="22"/>
        </w:rPr>
        <w:t xml:space="preserve">The responsive design and the camera capture input pathway acknowledge that many students in under-resourced environments access the internet primarily or exclusively through smartphones. The ability to photograph handwritten notes directly within the application, without requiring a separate image capture and file transfer step, materially reduces the friction of the workflow on mobile devices.</w:t>
      </w:r>
    </w:p>
    <w:p>
      <w:r>
        <w:br w:type="page"/>
      </w:r>
    </w:p>
    <w:p>
      <w:pPr>
        <w:pStyle w:val="Heading1"/>
        <w:spacing w:after="200" w:before="400"/>
      </w:pPr>
      <w:r>
        <w:rPr>
          <w:rFonts w:ascii="Arial" w:cs="Arial" w:eastAsia="Arial" w:hAnsi="Arial"/>
          <w:b/>
          <w:bCs/>
          <w:sz w:val="32"/>
          <w:szCs w:val="32"/>
        </w:rPr>
        <w:t xml:space="preserve">20. Limitations and Risks</w:t>
      </w:r>
    </w:p>
    <w:p>
      <w:pPr>
        <w:pStyle w:val="Heading2"/>
        <w:spacing w:after="150" w:before="300"/>
      </w:pPr>
      <w:r>
        <w:rPr>
          <w:rFonts w:ascii="Arial" w:cs="Arial" w:eastAsia="Arial" w:hAnsi="Arial"/>
          <w:b/>
          <w:bCs/>
          <w:sz w:val="26"/>
          <w:szCs w:val="26"/>
        </w:rPr>
        <w:t xml:space="preserve">20.1 Dependency on External Services</w:t>
      </w:r>
    </w:p>
    <w:p>
      <w:pPr>
        <w:spacing w:after="80" w:before="80" w:line="320"/>
        <w:jc w:val="both"/>
      </w:pPr>
      <w:r>
        <w:rPr>
          <w:rFonts w:ascii="Arial" w:cs="Arial" w:eastAsia="Arial" w:hAnsi="Arial"/>
          <w:b w:val="false"/>
          <w:bCs w:val="false"/>
          <w:i w:val="false"/>
          <w:iCs w:val="false"/>
          <w:color w:val="000000"/>
          <w:sz w:val="22"/>
          <w:szCs w:val="22"/>
        </w:rPr>
        <w:t xml:space="preserve">The production deployment is critically dependent on two external commercial services: the Groq API and the YtoTech LaTeX Online service. Groq's API is subject to rate limits, pricing changes, model deprecations, and service outages. YtoTech is a free public service with no explicit SLA, no documented rate limits, and no guarantee of continued availability. Any production deployment that relies on YtoTech for compilation accepts that service outages are outside the application operator's control. A university deploying this application for student use would be prudent to evaluate the terms and reliability of both services before depending on them.</w:t>
      </w:r>
    </w:p>
    <w:p>
      <w:pPr>
        <w:pStyle w:val="Heading2"/>
        <w:spacing w:after="150" w:before="300"/>
      </w:pPr>
      <w:r>
        <w:rPr>
          <w:rFonts w:ascii="Arial" w:cs="Arial" w:eastAsia="Arial" w:hAnsi="Arial"/>
          <w:b/>
          <w:bCs/>
          <w:sz w:val="26"/>
          <w:szCs w:val="26"/>
        </w:rPr>
        <w:t xml:space="preserve">20.2 Absent Server-Side Rate Limiting</w:t>
      </w:r>
    </w:p>
    <w:p>
      <w:pPr>
        <w:spacing w:after="80" w:before="80" w:line="320"/>
        <w:jc w:val="both"/>
      </w:pPr>
      <w:r>
        <w:rPr>
          <w:rFonts w:ascii="Arial" w:cs="Arial" w:eastAsia="Arial" w:hAnsi="Arial"/>
          <w:b w:val="false"/>
          <w:bCs w:val="false"/>
          <w:i w:val="false"/>
          <w:iCs w:val="false"/>
          <w:color w:val="000000"/>
          <w:sz w:val="22"/>
          <w:szCs w:val="22"/>
        </w:rPr>
        <w:t xml:space="preserve">The frontend code declares a RATE_LIMIT constant of 10, presumably intended to represent ten compilations per hour, and includes handling for a 'rate_limited' error response. However, the backend's /compile endpoint contains no rate limiting implementation. The backend will accept and process compilation requests indefinitely from any caller. This exposes the YtoTech API usage and the server's resources to abuse. Any user or script that can reach the backend endpoint can trigger unlimited compilation requests.</w:t>
      </w:r>
    </w:p>
    <w:p>
      <w:pPr>
        <w:pStyle w:val="Heading2"/>
        <w:spacing w:after="150" w:before="300"/>
      </w:pPr>
      <w:r>
        <w:rPr>
          <w:rFonts w:ascii="Arial" w:cs="Arial" w:eastAsia="Arial" w:hAnsi="Arial"/>
          <w:b/>
          <w:bCs/>
          <w:sz w:val="26"/>
          <w:szCs w:val="26"/>
        </w:rPr>
        <w:t xml:space="preserve">20.3 OCR Accuracy on Handwritten LaTeX</w:t>
      </w:r>
    </w:p>
    <w:p>
      <w:pPr>
        <w:spacing w:after="80" w:before="80" w:line="320"/>
        <w:jc w:val="both"/>
      </w:pPr>
      <w:r>
        <w:rPr>
          <w:rFonts w:ascii="Arial" w:cs="Arial" w:eastAsia="Arial" w:hAnsi="Arial"/>
          <w:b w:val="false"/>
          <w:bCs w:val="false"/>
          <w:i w:val="false"/>
          <w:iCs w:val="false"/>
          <w:color w:val="000000"/>
          <w:sz w:val="22"/>
          <w:szCs w:val="22"/>
        </w:rPr>
        <w:t xml:space="preserve">OCR accuracy on handwritten LaTeX code is inherently variable. Handwriting quality, image resolution, lighting conditions, and the specific LaTeX commands used all affect recognition accuracy. Even the Llama 4 Scout vision model, which performs better than character-level OCR on this task, will produce incorrect extractions for unclear handwriting, unusual symbols, or densely packed equations. The application provides no mechanism for partial correction suggestions or confidence-weighted output; the entire extracted string is presented as a single text block that the user must correct manually. For students with poor handwriting or complex equations, the manual correction burden may be significant.</w:t>
      </w:r>
    </w:p>
    <w:p>
      <w:pPr>
        <w:pStyle w:val="Heading2"/>
        <w:spacing w:after="150" w:before="300"/>
      </w:pPr>
      <w:r>
        <w:rPr>
          <w:rFonts w:ascii="Arial" w:cs="Arial" w:eastAsia="Arial" w:hAnsi="Arial"/>
          <w:b/>
          <w:bCs/>
          <w:sz w:val="26"/>
          <w:szCs w:val="26"/>
        </w:rPr>
        <w:t xml:space="preserve">20.4 Shallow Security Controls</w:t>
      </w:r>
    </w:p>
    <w:p>
      <w:pPr>
        <w:spacing w:after="80" w:before="80" w:line="320"/>
        <w:jc w:val="both"/>
      </w:pPr>
      <w:r>
        <w:rPr>
          <w:rFonts w:ascii="Arial" w:cs="Arial" w:eastAsia="Arial" w:hAnsi="Arial"/>
          <w:b w:val="false"/>
          <w:bCs w:val="false"/>
          <w:i w:val="false"/>
          <w:iCs w:val="false"/>
          <w:color w:val="000000"/>
          <w:sz w:val="22"/>
          <w:szCs w:val="22"/>
        </w:rPr>
        <w:t xml:space="preserve">The sanitisation layer is a necessary but insufficient security control. The regex patterns can be bypassed by a knowledgeable LaTeX user. The CORS wildcard configuration exposes the compilation endpoint to any web application. The backend performs no authentication of callers, meaning there is no mechanism to attribute compilation requests to specific users or to enforce per-user quotas at the backend level. For a public-facing deployment, these are meaningful security risks.</w:t>
      </w:r>
    </w:p>
    <w:p>
      <w:pPr>
        <w:pStyle w:val="Heading2"/>
        <w:spacing w:after="150" w:before="300"/>
      </w:pPr>
      <w:r>
        <w:rPr>
          <w:rFonts w:ascii="Arial" w:cs="Arial" w:eastAsia="Arial" w:hAnsi="Arial"/>
          <w:b/>
          <w:bCs/>
          <w:sz w:val="26"/>
          <w:szCs w:val="26"/>
        </w:rPr>
        <w:t xml:space="preserve">20.5 Storage Leak from Incomplete Delete</w:t>
      </w:r>
    </w:p>
    <w:p>
      <w:pPr>
        <w:spacing w:after="80" w:before="80" w:line="320"/>
        <w:jc w:val="both"/>
      </w:pPr>
      <w:r>
        <w:rPr>
          <w:rFonts w:ascii="Arial" w:cs="Arial" w:eastAsia="Arial" w:hAnsi="Arial"/>
          <w:b w:val="false"/>
          <w:bCs w:val="false"/>
          <w:i w:val="false"/>
          <w:iCs w:val="false"/>
          <w:color w:val="000000"/>
          <w:sz w:val="22"/>
          <w:szCs w:val="22"/>
        </w:rPr>
        <w:t xml:space="preserve">The History component's delete operation removes the database record but does not delete the corresponding PDF from Supabase Storage. Over time, for active users who delete their history, orphaned PDF files will accumulate in the storage bucket, consuming storage capacity without bound. This is an implementation gap that could be addressed by adding a Supabase Storage delete call in the deleteConversion() function.</w:t>
      </w:r>
    </w:p>
    <w:p>
      <w:pPr>
        <w:pStyle w:val="Heading2"/>
        <w:spacing w:after="150" w:before="300"/>
      </w:pPr>
      <w:r>
        <w:rPr>
          <w:rFonts w:ascii="Arial" w:cs="Arial" w:eastAsia="Arial" w:hAnsi="Arial"/>
          <w:b/>
          <w:bCs/>
          <w:sz w:val="26"/>
          <w:szCs w:val="26"/>
        </w:rPr>
        <w:t xml:space="preserve">20.6 In-Memory Cache Loss on Restart</w:t>
      </w:r>
    </w:p>
    <w:p>
      <w:pPr>
        <w:spacing w:after="80" w:before="80" w:line="320"/>
        <w:jc w:val="both"/>
      </w:pPr>
      <w:r>
        <w:rPr>
          <w:rFonts w:ascii="Arial" w:cs="Arial" w:eastAsia="Arial" w:hAnsi="Arial"/>
          <w:b w:val="false"/>
          <w:bCs w:val="false"/>
          <w:i w:val="false"/>
          <w:iCs w:val="false"/>
          <w:color w:val="000000"/>
          <w:sz w:val="22"/>
          <w:szCs w:val="22"/>
        </w:rPr>
        <w:t xml:space="preserve">The in-memory cache is lost every time the backend process restarts, which in cloud deployments may happen frequently due to container health checks, deployments, or resource constraints. The cache provides no benefit across restarts or across multiple deployment instances.</w:t>
      </w:r>
    </w:p>
    <w:p>
      <w:pPr>
        <w:pStyle w:val="Heading2"/>
        <w:spacing w:after="150" w:before="300"/>
      </w:pPr>
      <w:r>
        <w:rPr>
          <w:rFonts w:ascii="Arial" w:cs="Arial" w:eastAsia="Arial" w:hAnsi="Arial"/>
          <w:b/>
          <w:bCs/>
          <w:sz w:val="26"/>
          <w:szCs w:val="26"/>
        </w:rPr>
        <w:t xml:space="preserve">20.7 Repository Hygiene</w:t>
      </w:r>
    </w:p>
    <w:p>
      <w:pPr>
        <w:spacing w:after="80" w:before="80" w:line="320"/>
        <w:jc w:val="both"/>
      </w:pPr>
      <w:r>
        <w:rPr>
          <w:rFonts w:ascii="Arial" w:cs="Arial" w:eastAsia="Arial" w:hAnsi="Arial"/>
          <w:b w:val="false"/>
          <w:bCs w:val="false"/>
          <w:i w:val="false"/>
          <w:iCs w:val="false"/>
          <w:color w:val="000000"/>
          <w:sz w:val="22"/>
          <w:szCs w:val="22"/>
        </w:rPr>
        <w:t xml:space="preserve">The committed node_modules directory, the test image files, the legacy root-level main.py and PdfViewer.tsx, and the absence of a .gitignore that excludes node_modules at the root level indicate that the repository was developed without strict version control hygiene. The committed Windows binary in node_modules/@napi-rs/canvas-win32-x64-msvc is approximately 29 MB, which will make cloning the repository slow and increases the risk of confusion for contributors who encounter the duplicate files.</w:t>
      </w:r>
    </w:p>
    <w:p>
      <w:pPr>
        <w:pStyle w:val="Heading2"/>
        <w:spacing w:after="150" w:before="300"/>
      </w:pPr>
      <w:r>
        <w:rPr>
          <w:rFonts w:ascii="Arial" w:cs="Arial" w:eastAsia="Arial" w:hAnsi="Arial"/>
          <w:b/>
          <w:bCs/>
          <w:sz w:val="26"/>
          <w:szCs w:val="26"/>
        </w:rPr>
        <w:t xml:space="preserve">20.8 Warnings Header Size</w:t>
      </w:r>
    </w:p>
    <w:p>
      <w:pPr>
        <w:spacing w:after="80" w:before="80" w:line="320"/>
        <w:jc w:val="both"/>
      </w:pPr>
      <w:r>
        <w:rPr>
          <w:rFonts w:ascii="Arial" w:cs="Arial" w:eastAsia="Arial" w:hAnsi="Arial"/>
          <w:b w:val="false"/>
          <w:bCs w:val="false"/>
          <w:i w:val="false"/>
          <w:iCs w:val="false"/>
          <w:color w:val="000000"/>
          <w:sz w:val="22"/>
          <w:szCs w:val="22"/>
        </w:rPr>
        <w:t xml:space="preserve">Transmitting warnings in HTTP response headers as base64-encoded JSON is functional for a small number of warnings but is not robust for large warning sets. HTTP headers are conventionally limited to a few kilobytes; HTTP server implementations typically enforce limits between 4 KB and 16 KB per header. A LaTeX document that triggers extensive chktex output could produce a header value that is rejected by the server or the browser, resulting in a silent loss of warning data.</w:t>
      </w:r>
    </w:p>
    <w:p>
      <w:r>
        <w:br w:type="page"/>
      </w:r>
    </w:p>
    <w:p>
      <w:pPr>
        <w:pStyle w:val="Heading1"/>
        <w:spacing w:after="200" w:before="400"/>
      </w:pPr>
      <w:r>
        <w:rPr>
          <w:rFonts w:ascii="Arial" w:cs="Arial" w:eastAsia="Arial" w:hAnsi="Arial"/>
          <w:b/>
          <w:bCs/>
          <w:sz w:val="32"/>
          <w:szCs w:val="32"/>
        </w:rPr>
        <w:t xml:space="preserve">21. Suggested Improvements</w:t>
      </w:r>
    </w:p>
    <w:p>
      <w:pPr>
        <w:pStyle w:val="Heading2"/>
        <w:spacing w:after="150" w:before="300"/>
      </w:pPr>
      <w:r>
        <w:rPr>
          <w:rFonts w:ascii="Arial" w:cs="Arial" w:eastAsia="Arial" w:hAnsi="Arial"/>
          <w:b/>
          <w:bCs/>
          <w:sz w:val="26"/>
          <w:szCs w:val="26"/>
        </w:rPr>
        <w:t xml:space="preserve">21.1 Server-Side Rate Limiting</w:t>
      </w:r>
    </w:p>
    <w:p>
      <w:pPr>
        <w:spacing w:after="80" w:before="80" w:line="320"/>
        <w:jc w:val="both"/>
      </w:pPr>
      <w:r>
        <w:rPr>
          <w:rFonts w:ascii="Arial" w:cs="Arial" w:eastAsia="Arial" w:hAnsi="Arial"/>
          <w:b w:val="false"/>
          <w:bCs w:val="false"/>
          <w:i w:val="false"/>
          <w:iCs w:val="false"/>
          <w:color w:val="000000"/>
          <w:sz w:val="22"/>
          <w:szCs w:val="22"/>
        </w:rPr>
        <w:t xml:space="preserve">Implement rate limiting at the FastAPI layer using a library such as slowapi, which integrates with FastAPI and supports per-IP or per-user rate limits. The limit should match the frontend's declared constant of ten requests per hour. For authenticated users, rate limiting should be keyed on the user's Supabase UUID rather than IP address to handle users behind shared institutional NAT.</w:t>
      </w:r>
    </w:p>
    <w:p>
      <w:pPr>
        <w:pStyle w:val="Heading2"/>
        <w:spacing w:after="150" w:before="300"/>
      </w:pPr>
      <w:r>
        <w:rPr>
          <w:rFonts w:ascii="Arial" w:cs="Arial" w:eastAsia="Arial" w:hAnsi="Arial"/>
          <w:b/>
          <w:bCs/>
          <w:sz w:val="26"/>
          <w:szCs w:val="26"/>
        </w:rPr>
        <w:t xml:space="preserve">21.2 Local pdflatex on All Platforms</w:t>
      </w:r>
    </w:p>
    <w:p>
      <w:pPr>
        <w:spacing w:after="80" w:before="80" w:line="320"/>
        <w:jc w:val="both"/>
      </w:pPr>
      <w:r>
        <w:rPr>
          <w:rFonts w:ascii="Arial" w:cs="Arial" w:eastAsia="Arial" w:hAnsi="Arial"/>
          <w:b w:val="false"/>
          <w:bCs w:val="false"/>
          <w:i w:val="false"/>
          <w:iCs w:val="false"/>
          <w:color w:val="000000"/>
          <w:sz w:val="22"/>
          <w:szCs w:val="22"/>
        </w:rPr>
        <w:t xml:space="preserve">The build.sh script already installs a full TeX Live distribution. The backend should be extended to use this installation for compilation on Linux hosts, removing the dependency on the YtoTech external service. This would improve reliability, eliminate external API costs, and make the compilation pipeline self-contained. Sandboxing would need to be added — for example, by running pdflatex inside a Docker container with restricted filesystem access — to mitigate the LaTeX injection risks associated with running an uncontrolled LaTeX engine.</w:t>
      </w:r>
    </w:p>
    <w:p>
      <w:pPr>
        <w:pStyle w:val="Heading2"/>
        <w:spacing w:after="150" w:before="300"/>
      </w:pPr>
      <w:r>
        <w:rPr>
          <w:rFonts w:ascii="Arial" w:cs="Arial" w:eastAsia="Arial" w:hAnsi="Arial"/>
          <w:b/>
          <w:bCs/>
          <w:sz w:val="26"/>
          <w:szCs w:val="26"/>
        </w:rPr>
        <w:t xml:space="preserve">21.3 Compilation Sandboxing</w:t>
      </w:r>
    </w:p>
    <w:p>
      <w:pPr>
        <w:spacing w:after="80" w:before="80" w:line="320"/>
        <w:jc w:val="both"/>
      </w:pPr>
      <w:r>
        <w:rPr>
          <w:rFonts w:ascii="Arial" w:cs="Arial" w:eastAsia="Arial" w:hAnsi="Arial"/>
          <w:b w:val="false"/>
          <w:bCs w:val="false"/>
          <w:i w:val="false"/>
          <w:iCs w:val="false"/>
          <w:color w:val="000000"/>
          <w:sz w:val="22"/>
          <w:szCs w:val="22"/>
        </w:rPr>
        <w:t xml:space="preserve">For any deployment that runs pdflatex locally, the compilation process should be executed in an isolated container or chroot environment with no access to the host filesystem outside the temporary compilation directory. This would replace the regex filter as the primary security control, reducing the risk of filesystem access exploits. Sandboxing would also allow the removal of the \include and \input filters, which are legitimate LaTeX commands that students may have valid reasons to use if the referenced files are within the compilation sandbox.</w:t>
      </w:r>
    </w:p>
    <w:p>
      <w:pPr>
        <w:pStyle w:val="Heading2"/>
        <w:spacing w:after="150" w:before="300"/>
      </w:pPr>
      <w:r>
        <w:rPr>
          <w:rFonts w:ascii="Arial" w:cs="Arial" w:eastAsia="Arial" w:hAnsi="Arial"/>
          <w:b/>
          <w:bCs/>
          <w:sz w:val="26"/>
          <w:szCs w:val="26"/>
        </w:rPr>
        <w:t xml:space="preserve">21.4 Fix Orphaned Storage Objects</w:t>
      </w:r>
    </w:p>
    <w:p>
      <w:pPr>
        <w:spacing w:after="80" w:before="80" w:line="320"/>
        <w:jc w:val="both"/>
      </w:pPr>
      <w:r>
        <w:rPr>
          <w:rFonts w:ascii="Arial" w:cs="Arial" w:eastAsia="Arial" w:hAnsi="Arial"/>
          <w:b w:val="false"/>
          <w:bCs w:val="false"/>
          <w:i w:val="false"/>
          <w:iCs w:val="false"/>
          <w:color w:val="000000"/>
          <w:sz w:val="22"/>
          <w:szCs w:val="22"/>
        </w:rPr>
        <w:t xml:space="preserve">Modify the deleteConversion() function in History.tsx to also delete the corresponding PDF from Supabase Storage before deleting the database record. The storage path can be extracted from the pdf_url field of the conversion record.</w:t>
      </w:r>
    </w:p>
    <w:p>
      <w:pPr>
        <w:pStyle w:val="Heading2"/>
        <w:spacing w:after="150" w:before="300"/>
      </w:pPr>
      <w:r>
        <w:rPr>
          <w:rFonts w:ascii="Arial" w:cs="Arial" w:eastAsia="Arial" w:hAnsi="Arial"/>
          <w:b/>
          <w:bCs/>
          <w:sz w:val="26"/>
          <w:szCs w:val="26"/>
        </w:rPr>
        <w:t xml:space="preserve">21.5 Move Warnings to Response Body</w:t>
      </w:r>
    </w:p>
    <w:p>
      <w:pPr>
        <w:spacing w:after="80" w:before="80" w:line="320"/>
        <w:jc w:val="both"/>
      </w:pPr>
      <w:r>
        <w:rPr>
          <w:rFonts w:ascii="Arial" w:cs="Arial" w:eastAsia="Arial" w:hAnsi="Arial"/>
          <w:b w:val="false"/>
          <w:bCs w:val="false"/>
          <w:i w:val="false"/>
          <w:iCs w:val="false"/>
          <w:color w:val="000000"/>
          <w:sz w:val="22"/>
          <w:szCs w:val="22"/>
        </w:rPr>
        <w:t xml:space="preserve">Warnings should be included in the response body rather than in HTTP headers. One approach is to return a multipart response with the PDF binary as one part and a JSON metadata object as another. A simpler approach for this application would be to return warnings in a separate JSON endpoint called after a successful compilation, keyed by the cache key, which the frontend would fetch immediately after receiving the PDF response.</w:t>
      </w:r>
    </w:p>
    <w:p>
      <w:pPr>
        <w:pStyle w:val="Heading2"/>
        <w:spacing w:after="150" w:before="300"/>
      </w:pPr>
      <w:r>
        <w:rPr>
          <w:rFonts w:ascii="Arial" w:cs="Arial" w:eastAsia="Arial" w:hAnsi="Arial"/>
          <w:b/>
          <w:bCs/>
          <w:sz w:val="26"/>
          <w:szCs w:val="26"/>
        </w:rPr>
        <w:t xml:space="preserve">21.6 Repository Cleanup</w:t>
      </w:r>
    </w:p>
    <w:p>
      <w:pPr>
        <w:spacing w:after="80" w:before="80" w:line="320"/>
        <w:jc w:val="both"/>
      </w:pPr>
      <w:r>
        <w:rPr>
          <w:rFonts w:ascii="Arial" w:cs="Arial" w:eastAsia="Arial" w:hAnsi="Arial"/>
          <w:b w:val="false"/>
          <w:bCs w:val="false"/>
          <w:i w:val="false"/>
          <w:iCs w:val="false"/>
          <w:color w:val="000000"/>
          <w:sz w:val="22"/>
          <w:szCs w:val="22"/>
        </w:rPr>
        <w:t xml:space="preserve">The following repository cleanup actions are recommended: remove the committed node_modules directory and add node_modules to the root .gitignore; remove the test image files (Test.jpeg, adison.jpeg, and the WhatsApp images) from the repository; remove the legacy root-level main.py and PdfViewer.tsx files; add a .env.example file documenting all required environment variables with placeholder values; and add a README.md to the backend directory documenting the deployment procedure.</w:t>
      </w:r>
    </w:p>
    <w:p>
      <w:pPr>
        <w:pStyle w:val="Heading2"/>
        <w:spacing w:after="150" w:before="300"/>
      </w:pPr>
      <w:r>
        <w:rPr>
          <w:rFonts w:ascii="Arial" w:cs="Arial" w:eastAsia="Arial" w:hAnsi="Arial"/>
          <w:b/>
          <w:bCs/>
          <w:sz w:val="26"/>
          <w:szCs w:val="26"/>
        </w:rPr>
        <w:t xml:space="preserve">21.7 Error Handling Improvements</w:t>
      </w:r>
    </w:p>
    <w:p>
      <w:pPr>
        <w:spacing w:after="80" w:before="80" w:line="320"/>
        <w:jc w:val="both"/>
      </w:pPr>
      <w:r>
        <w:rPr>
          <w:rFonts w:ascii="Arial" w:cs="Arial" w:eastAsia="Arial" w:hAnsi="Arial"/>
          <w:b w:val="false"/>
          <w:bCs w:val="false"/>
          <w:i w:val="false"/>
          <w:iCs w:val="false"/>
          <w:color w:val="000000"/>
          <w:sz w:val="22"/>
          <w:szCs w:val="22"/>
        </w:rPr>
        <w:t xml:space="preserve">The saveToHistory() function should surface errors to the user interface, for example with a transient toast notification, rather than logging silently to the console. The frontend should perform client-side file type and size validation before the upload request to provide immediate feedback and reduce unnecessary network traffic. The Supabase client initialisation should include a defensive runtime check with a descriptive error message when the environment variables are absent.</w:t>
      </w:r>
    </w:p>
    <w:p>
      <w:pPr>
        <w:pStyle w:val="Heading2"/>
        <w:spacing w:after="150" w:before="300"/>
      </w:pPr>
      <w:r>
        <w:rPr>
          <w:rFonts w:ascii="Arial" w:cs="Arial" w:eastAsia="Arial" w:hAnsi="Arial"/>
          <w:b/>
          <w:bCs/>
          <w:sz w:val="26"/>
          <w:szCs w:val="26"/>
        </w:rPr>
        <w:t xml:space="preserve">21.8 Testing</w:t>
      </w:r>
    </w:p>
    <w:p>
      <w:pPr>
        <w:spacing w:after="80" w:before="80" w:line="320"/>
        <w:jc w:val="both"/>
      </w:pPr>
      <w:r>
        <w:rPr>
          <w:rFonts w:ascii="Arial" w:cs="Arial" w:eastAsia="Arial" w:hAnsi="Arial"/>
          <w:b w:val="false"/>
          <w:bCs w:val="false"/>
          <w:i w:val="false"/>
          <w:iCs w:val="false"/>
          <w:color w:val="000000"/>
          <w:sz w:val="22"/>
          <w:szCs w:val="22"/>
        </w:rPr>
        <w:t xml:space="preserve">The repository contains no automated tests of any kind — no unit tests for the backend utility functions, no integration tests for the API endpoints, and no frontend component tests. Adding a pytest test suite for the backend functions sanitise_latex(), parse_latex_errors(), check_outdated_packages(), and replace_images_with_placeholders() would materially reduce the risk of regressions during future development. The parse_latex_errors() function in particular benefits from unit tests, as the format of pdflatex error output can be variable across LaTeX document classes and package combinations.</w:t>
      </w:r>
    </w:p>
    <w:p>
      <w:r>
        <w:br w:type="page"/>
      </w:r>
    </w:p>
    <w:p>
      <w:pPr>
        <w:pStyle w:val="Heading1"/>
        <w:spacing w:after="200" w:before="400"/>
      </w:pPr>
      <w:r>
        <w:rPr>
          <w:rFonts w:ascii="Arial" w:cs="Arial" w:eastAsia="Arial" w:hAnsi="Arial"/>
          <w:b/>
          <w:bCs/>
          <w:sz w:val="32"/>
          <w:szCs w:val="32"/>
        </w:rPr>
        <w:t xml:space="preserve">22. Educational and Academic Relevance</w:t>
      </w:r>
    </w:p>
    <w:p>
      <w:pPr>
        <w:pStyle w:val="Heading2"/>
        <w:spacing w:after="150" w:before="300"/>
      </w:pPr>
      <w:r>
        <w:rPr>
          <w:rFonts w:ascii="Arial" w:cs="Arial" w:eastAsia="Arial" w:hAnsi="Arial"/>
          <w:b/>
          <w:bCs/>
          <w:sz w:val="26"/>
          <w:szCs w:val="26"/>
        </w:rPr>
        <w:t xml:space="preserve">22.1 Suitability as a College or University Project</w:t>
      </w:r>
    </w:p>
    <w:p>
      <w:pPr>
        <w:spacing w:after="80" w:before="80" w:line="320"/>
        <w:jc w:val="both"/>
      </w:pPr>
      <w:r>
        <w:rPr>
          <w:rFonts w:ascii="Arial" w:cs="Arial" w:eastAsia="Arial" w:hAnsi="Arial"/>
          <w:b w:val="false"/>
          <w:bCs w:val="false"/>
          <w:i w:val="false"/>
          <w:iCs w:val="false"/>
          <w:color w:val="000000"/>
          <w:sz w:val="22"/>
          <w:szCs w:val="22"/>
        </w:rPr>
        <w:t xml:space="preserve">This project is well-suited as a final-year undergraduate or postgraduate project in computer science, information technology, or related disciplines. It integrates concepts from web application development, natural language processing and OCR, document typesetting systems, cloud service integration, and basic systems security. The scope is appropriate for a team of two to three students over one or two semesters, with sufficient technical depth in each subsystem to provide meaningful learning outcomes.</w:t>
      </w:r>
    </w:p>
    <w:p>
      <w:pPr>
        <w:pStyle w:val="Heading2"/>
        <w:spacing w:after="150" w:before="300"/>
      </w:pPr>
      <w:r>
        <w:rPr>
          <w:rFonts w:ascii="Arial" w:cs="Arial" w:eastAsia="Arial" w:hAnsi="Arial"/>
          <w:b/>
          <w:bCs/>
          <w:sz w:val="26"/>
          <w:szCs w:val="26"/>
        </w:rPr>
        <w:t xml:space="preserve">22.2 Interdisciplinary Value</w:t>
      </w:r>
    </w:p>
    <w:p>
      <w:pPr>
        <w:spacing w:after="80" w:before="80" w:line="320"/>
        <w:jc w:val="both"/>
      </w:pPr>
      <w:r>
        <w:rPr>
          <w:rFonts w:ascii="Arial" w:cs="Arial" w:eastAsia="Arial" w:hAnsi="Arial"/>
          <w:b w:val="false"/>
          <w:bCs w:val="false"/>
          <w:i w:val="false"/>
          <w:iCs w:val="false"/>
          <w:color w:val="000000"/>
          <w:sz w:val="22"/>
          <w:szCs w:val="22"/>
        </w:rPr>
        <w:t xml:space="preserve">The project touches multiple academic disciplines: computer vision and OCR in the extraction pipeline, software engineering in the full-stack implementation, document typesetting in the LaTeX compilation and analysis subsystem, database systems in the Supabase schema design and query logic, and information security in the sanitisation and CORS considerations. This breadth makes it a credible demonstration of practical engineering competency across multiple domains.</w:t>
      </w:r>
    </w:p>
    <w:p>
      <w:pPr>
        <w:pStyle w:val="Heading2"/>
        <w:spacing w:after="150" w:before="300"/>
      </w:pPr>
      <w:r>
        <w:rPr>
          <w:rFonts w:ascii="Arial" w:cs="Arial" w:eastAsia="Arial" w:hAnsi="Arial"/>
          <w:b/>
          <w:bCs/>
          <w:sz w:val="26"/>
          <w:szCs w:val="26"/>
        </w:rPr>
        <w:t xml:space="preserve">22.3 Direct Support for Real Student Workflows</w:t>
      </w:r>
    </w:p>
    <w:p>
      <w:pPr>
        <w:spacing w:after="80" w:before="80" w:line="320"/>
        <w:jc w:val="both"/>
      </w:pPr>
      <w:r>
        <w:rPr>
          <w:rFonts w:ascii="Arial" w:cs="Arial" w:eastAsia="Arial" w:hAnsi="Arial"/>
          <w:b w:val="false"/>
          <w:bCs w:val="false"/>
          <w:i w:val="false"/>
          <w:iCs w:val="false"/>
          <w:color w:val="000000"/>
          <w:sz w:val="22"/>
          <w:szCs w:val="22"/>
        </w:rPr>
        <w:t xml:space="preserve">The application solves a problem that the student developers and their peers directly experience. This gives the project a grounded problem statement that evaluators and examiners can readily verify as authentic. The use case — a student in a college computer lab who cannot install LaTeX but wants to render their handwritten equations — is specific, realistic, and verifiable by any academic examiner who has taught technical courses at an institution with resource constraints. This authenticity strengthens the project's credibility as an academic submission.</w:t>
      </w:r>
    </w:p>
    <w:p>
      <w:pPr>
        <w:pStyle w:val="Heading1"/>
        <w:spacing w:after="200" w:before="400"/>
      </w:pPr>
      <w:r>
        <w:rPr>
          <w:rFonts w:ascii="Arial" w:cs="Arial" w:eastAsia="Arial" w:hAnsi="Arial"/>
          <w:b/>
          <w:bCs/>
          <w:sz w:val="32"/>
          <w:szCs w:val="32"/>
        </w:rPr>
        <w:t xml:space="preserve">23. Conclusion</w:t>
      </w:r>
    </w:p>
    <w:p>
      <w:pPr>
        <w:spacing w:after="80" w:before="80" w:line="320"/>
        <w:jc w:val="both"/>
      </w:pPr>
      <w:r>
        <w:rPr>
          <w:rFonts w:ascii="Arial" w:cs="Arial" w:eastAsia="Arial" w:hAnsi="Arial"/>
          <w:b w:val="false"/>
          <w:bCs w:val="false"/>
          <w:i w:val="false"/>
          <w:iCs w:val="false"/>
          <w:color w:val="000000"/>
          <w:sz w:val="22"/>
          <w:szCs w:val="22"/>
        </w:rPr>
        <w:t xml:space="preserve">The LaTeX OCR and PDF Generation Web Application is a coherent, functional, and educationally motivated system that addresses a genuine and well-defined problem faced by students in under-resourced academic computing environments. Its central contribution — a browser-based pipeline from image capture to rendered PDF, requiring no local software installation — is valuable and correctly implemented for its stated purpose. The integration of a confidence-gated dual OCR strategy, structured compilation error reporting, deprecated package detection, and mobile camera support demonstrate a thoughtful approach to both the technical and pedagogical dimensions of the problem.</w:t>
      </w:r>
    </w:p>
    <w:p>
      <w:pPr>
        <w:spacing w:after="80" w:before="80" w:line="320"/>
        <w:jc w:val="both"/>
      </w:pPr>
      <w:r>
        <w:rPr>
          <w:rFonts w:ascii="Arial" w:cs="Arial" w:eastAsia="Arial" w:hAnsi="Arial"/>
          <w:b w:val="false"/>
          <w:bCs w:val="false"/>
          <w:i w:val="false"/>
          <w:iCs w:val="false"/>
          <w:color w:val="000000"/>
          <w:sz w:val="22"/>
          <w:szCs w:val="22"/>
        </w:rPr>
        <w:t xml:space="preserve">The system has meaningful limitations that a production deployment would need to address: the absence of server-side rate limiting, the dependency on two uncontrolled external services for its core functionality, the shallow LaTeX security controls, the silent failure modes in the history persistence layer, and the repository hygiene issues that obscure the authoritative implementation files. These are, however, limitations that are characteristic of a well-executed prototype rather than fundamental architectural failures. The core design is extensible, and the identified improvements are tractable engineering tasks.</w:t>
      </w:r>
    </w:p>
    <w:p>
      <w:pPr>
        <w:spacing w:after="80" w:before="80" w:line="320"/>
        <w:jc w:val="both"/>
      </w:pPr>
      <w:r>
        <w:rPr>
          <w:rFonts w:ascii="Arial" w:cs="Arial" w:eastAsia="Arial" w:hAnsi="Arial"/>
          <w:b w:val="false"/>
          <w:bCs w:val="false"/>
          <w:i w:val="false"/>
          <w:iCs w:val="false"/>
          <w:color w:val="000000"/>
          <w:sz w:val="22"/>
          <w:szCs w:val="22"/>
        </w:rPr>
        <w:t xml:space="preserve">From an academic evaluation perspective, the project demonstrates competency in full-stack web development, cloud service integration, OCR pipeline design, and LaTeX toolchain interaction. It is technically honest in its choice of external services where local capability is insufficient, and it provides more genuine utility to its target user population than many student projects of comparable scope. The student-centred framing — reducing the friction of LaTeX access for those without properly configured systems — is consistently applied and is reflected in concrete implementation decisions throughout the codebase, from the camera upload input to the pedagogical deprecated-package warnings. The application represents a credible and practically useful contribution to the problem of lowering the barrier to LaTeX adoption in college and university environments.</w:t>
      </w:r>
    </w:p>
    <w:p>
      <w:r>
        <w:br w:type="page"/>
      </w:r>
    </w:p>
    <w:p>
      <w:pPr>
        <w:pStyle w:val="Heading1"/>
        <w:spacing w:after="200" w:before="400"/>
      </w:pPr>
      <w:r>
        <w:rPr>
          <w:rFonts w:ascii="Arial" w:cs="Arial" w:eastAsia="Arial" w:hAnsi="Arial"/>
          <w:b/>
          <w:bCs/>
          <w:sz w:val="32"/>
          <w:szCs w:val="32"/>
        </w:rPr>
        <w:t xml:space="preserve">Appendix A: Required Environment Variables</w:t>
      </w:r>
    </w:p>
    <w:p>
      <w:pPr>
        <w:pStyle w:val="Heading2"/>
        <w:spacing w:after="150" w:before="300"/>
      </w:pPr>
      <w:r>
        <w:rPr>
          <w:rFonts w:ascii="Arial" w:cs="Arial" w:eastAsia="Arial" w:hAnsi="Arial"/>
          <w:b/>
          <w:bCs/>
          <w:sz w:val="26"/>
          <w:szCs w:val="26"/>
        </w:rPr>
        <w:t xml:space="preserve">Backend (.env)</w:t>
      </w:r>
    </w:p>
    <w:p>
      <w:pPr>
        <w:spacing w:after="60" w:before="60"/>
        <w:ind w:left="720"/>
      </w:pPr>
      <w:r>
        <w:rPr>
          <w:rFonts w:ascii="Courier New" w:cs="Courier New" w:eastAsia="Courier New" w:hAnsi="Courier New"/>
          <w:color w:val="1F497D"/>
          <w:sz w:val="18"/>
          <w:szCs w:val="18"/>
        </w:rPr>
        <w:t xml:space="preserve">GROQ_API_KEY=&lt;Groq API key for the Llama 4 Scout vision model&gt;</w:t>
      </w:r>
    </w:p>
    <w:p>
      <w:pPr>
        <w:pStyle w:val="Heading2"/>
        <w:spacing w:after="150" w:before="300"/>
      </w:pPr>
      <w:r>
        <w:rPr>
          <w:rFonts w:ascii="Arial" w:cs="Arial" w:eastAsia="Arial" w:hAnsi="Arial"/>
          <w:b/>
          <w:bCs/>
          <w:sz w:val="26"/>
          <w:szCs w:val="26"/>
        </w:rPr>
        <w:t xml:space="preserve">Frontend (.env.local)</w:t>
      </w:r>
    </w:p>
    <w:p>
      <w:pPr>
        <w:spacing w:after="60" w:before="60"/>
        <w:ind w:left="720"/>
      </w:pPr>
      <w:r>
        <w:rPr>
          <w:rFonts w:ascii="Courier New" w:cs="Courier New" w:eastAsia="Courier New" w:hAnsi="Courier New"/>
          <w:color w:val="1F497D"/>
          <w:sz w:val="18"/>
          <w:szCs w:val="18"/>
        </w:rPr>
        <w:t xml:space="preserve">NEXT_PUBLIC_BACKEND_URL=&lt;URL of the deployed FastAPI backend&gt;</w:t>
      </w:r>
    </w:p>
    <w:p>
      <w:pPr>
        <w:spacing w:after="60" w:before="60"/>
        <w:ind w:left="720"/>
      </w:pPr>
      <w:r>
        <w:rPr>
          <w:rFonts w:ascii="Courier New" w:cs="Courier New" w:eastAsia="Courier New" w:hAnsi="Courier New"/>
          <w:color w:val="1F497D"/>
          <w:sz w:val="18"/>
          <w:szCs w:val="18"/>
        </w:rPr>
        <w:t xml:space="preserve">NEXT_PUBLIC_SUPABASE_URL=&lt;Supabase project URL&gt;</w:t>
      </w:r>
    </w:p>
    <w:p>
      <w:pPr>
        <w:spacing w:after="60" w:before="60"/>
        <w:ind w:left="720"/>
      </w:pPr>
      <w:r>
        <w:rPr>
          <w:rFonts w:ascii="Courier New" w:cs="Courier New" w:eastAsia="Courier New" w:hAnsi="Courier New"/>
          <w:color w:val="1F497D"/>
          <w:sz w:val="18"/>
          <w:szCs w:val="18"/>
        </w:rPr>
        <w:t xml:space="preserve">NEXT_PUBLIC_SUPABASE_ANON_KEY=&lt;Supabase anon key&gt;</w:t>
      </w:r>
    </w:p>
    <w:p>
      <w:pPr>
        <w:spacing w:after="60" w:before="60"/>
        <w:ind w:left="720"/>
      </w:pPr>
      <w:r>
        <w:rPr>
          <w:rFonts w:ascii="Courier New" w:cs="Courier New" w:eastAsia="Courier New" w:hAnsi="Courier New"/>
          <w:color w:val="1F497D"/>
          <w:sz w:val="18"/>
          <w:szCs w:val="18"/>
        </w:rPr>
        <w:t xml:space="preserve">NEXT_PUBLIC_SITE_URL=&lt;Deployed frontend URL for OAuth redirect&gt;</w:t>
      </w:r>
    </w:p>
    <w:p>
      <w:pPr>
        <w:pStyle w:val="Heading1"/>
        <w:spacing w:after="200" w:before="400"/>
      </w:pPr>
      <w:r>
        <w:rPr>
          <w:rFonts w:ascii="Arial" w:cs="Arial" w:eastAsia="Arial" w:hAnsi="Arial"/>
          <w:b/>
          <w:bCs/>
          <w:sz w:val="32"/>
          <w:szCs w:val="32"/>
        </w:rPr>
        <w:t xml:space="preserve">Appendix B: Authoritative vs. Legacy Files</w:t>
      </w:r>
    </w:p>
    <w:p>
      <w:pPr>
        <w:pStyle w:val="Heading2"/>
        <w:spacing w:after="150" w:before="300"/>
      </w:pPr>
      <w:r>
        <w:rPr>
          <w:rFonts w:ascii="Arial" w:cs="Arial" w:eastAsia="Arial" w:hAnsi="Arial"/>
          <w:b/>
          <w:bCs/>
          <w:sz w:val="26"/>
          <w:szCs w:val="26"/>
        </w:rPr>
        <w:t xml:space="preserve">Authoritative Implementation Files</w:t>
      </w:r>
    </w:p>
    <w:p>
      <w:pPr>
        <w:pStyle w:val="ListParagraph"/>
        <w:numPr>
          <w:ilvl w:val="0"/>
          <w:numId w:val="2"/>
        </w:numPr>
        <w:spacing w:after="60" w:before="60"/>
      </w:pPr>
      <w:r>
        <w:rPr>
          <w:rFonts w:ascii="Arial" w:cs="Arial" w:eastAsia="Arial" w:hAnsi="Arial"/>
          <w:sz w:val="22"/>
          <w:szCs w:val="22"/>
        </w:rPr>
        <w:t xml:space="preserve">backend/main.py — Full backend with dual OCR, chktex, Tesseract, and all utilities</w:t>
      </w:r>
    </w:p>
    <w:p>
      <w:pPr>
        <w:pStyle w:val="ListParagraph"/>
        <w:numPr>
          <w:ilvl w:val="0"/>
          <w:numId w:val="2"/>
        </w:numPr>
        <w:spacing w:after="60" w:before="60"/>
      </w:pPr>
      <w:r>
        <w:rPr>
          <w:rFonts w:ascii="Arial" w:cs="Arial" w:eastAsia="Arial" w:hAnsi="Arial"/>
          <w:sz w:val="22"/>
          <w:szCs w:val="22"/>
        </w:rPr>
        <w:t xml:space="preserve">frontend/app/page.tsx — Main page controller</w:t>
      </w:r>
    </w:p>
    <w:p>
      <w:pPr>
        <w:pStyle w:val="ListParagraph"/>
        <w:numPr>
          <w:ilvl w:val="0"/>
          <w:numId w:val="2"/>
        </w:numPr>
        <w:spacing w:after="60" w:before="60"/>
      </w:pPr>
      <w:r>
        <w:rPr>
          <w:rFonts w:ascii="Arial" w:cs="Arial" w:eastAsia="Arial" w:hAnsi="Arial"/>
          <w:sz w:val="22"/>
          <w:szCs w:val="22"/>
        </w:rPr>
        <w:t xml:space="preserve">frontend/app/components/Auth.tsx — Authentication UI</w:t>
      </w:r>
    </w:p>
    <w:p>
      <w:pPr>
        <w:pStyle w:val="ListParagraph"/>
        <w:numPr>
          <w:ilvl w:val="0"/>
          <w:numId w:val="2"/>
        </w:numPr>
        <w:spacing w:after="60" w:before="60"/>
      </w:pPr>
      <w:r>
        <w:rPr>
          <w:rFonts w:ascii="Arial" w:cs="Arial" w:eastAsia="Arial" w:hAnsi="Arial"/>
          <w:sz w:val="22"/>
          <w:szCs w:val="22"/>
        </w:rPr>
        <w:t xml:space="preserve">frontend/app/components/History.tsx — Conversion history UI</w:t>
      </w:r>
    </w:p>
    <w:p>
      <w:pPr>
        <w:pStyle w:val="ListParagraph"/>
        <w:numPr>
          <w:ilvl w:val="0"/>
          <w:numId w:val="2"/>
        </w:numPr>
        <w:spacing w:after="60" w:before="60"/>
      </w:pPr>
      <w:r>
        <w:rPr>
          <w:rFonts w:ascii="Arial" w:cs="Arial" w:eastAsia="Arial" w:hAnsi="Arial"/>
          <w:sz w:val="22"/>
          <w:szCs w:val="22"/>
        </w:rPr>
        <w:t xml:space="preserve">frontend/app/components/PdfViewer.tsx — PDF rendering component</w:t>
      </w:r>
    </w:p>
    <w:p>
      <w:pPr>
        <w:pStyle w:val="ListParagraph"/>
        <w:numPr>
          <w:ilvl w:val="0"/>
          <w:numId w:val="2"/>
        </w:numPr>
        <w:spacing w:after="60" w:before="60"/>
      </w:pPr>
      <w:r>
        <w:rPr>
          <w:rFonts w:ascii="Arial" w:cs="Arial" w:eastAsia="Arial" w:hAnsi="Arial"/>
          <w:sz w:val="22"/>
          <w:szCs w:val="22"/>
        </w:rPr>
        <w:t xml:space="preserve">frontend/lib/supabase.ts — Supabase client singleton</w:t>
      </w:r>
    </w:p>
    <w:p>
      <w:pPr>
        <w:pStyle w:val="ListParagraph"/>
        <w:numPr>
          <w:ilvl w:val="0"/>
          <w:numId w:val="2"/>
        </w:numPr>
        <w:spacing w:after="60" w:before="60"/>
      </w:pPr>
      <w:r>
        <w:rPr>
          <w:rFonts w:ascii="Arial" w:cs="Arial" w:eastAsia="Arial" w:hAnsi="Arial"/>
          <w:sz w:val="22"/>
          <w:szCs w:val="22"/>
        </w:rPr>
        <w:t xml:space="preserve">build.sh — Linux system dependency installer</w:t>
      </w:r>
    </w:p>
    <w:p>
      <w:pPr>
        <w:pStyle w:val="Heading2"/>
        <w:spacing w:after="150" w:before="300"/>
      </w:pPr>
      <w:r>
        <w:rPr>
          <w:rFonts w:ascii="Arial" w:cs="Arial" w:eastAsia="Arial" w:hAnsi="Arial"/>
          <w:b/>
          <w:bCs/>
          <w:sz w:val="26"/>
          <w:szCs w:val="26"/>
        </w:rPr>
        <w:t xml:space="preserve">Legacy / Draft Files (Not Authoritative)</w:t>
      </w:r>
    </w:p>
    <w:p>
      <w:pPr>
        <w:pStyle w:val="ListParagraph"/>
        <w:numPr>
          <w:ilvl w:val="0"/>
          <w:numId w:val="2"/>
        </w:numPr>
        <w:spacing w:after="60" w:before="60"/>
      </w:pPr>
      <w:r>
        <w:rPr>
          <w:rFonts w:ascii="Arial" w:cs="Arial" w:eastAsia="Arial" w:hAnsi="Arial"/>
          <w:sz w:val="22"/>
          <w:szCs w:val="22"/>
        </w:rPr>
        <w:t xml:space="preserve">main.py (root level) — Earlier version of backend without Tesseract and chktex</w:t>
      </w:r>
    </w:p>
    <w:p>
      <w:pPr>
        <w:pStyle w:val="ListParagraph"/>
        <w:numPr>
          <w:ilvl w:val="0"/>
          <w:numId w:val="2"/>
        </w:numPr>
        <w:spacing w:after="60" w:before="60"/>
      </w:pPr>
      <w:r>
        <w:rPr>
          <w:rFonts w:ascii="Arial" w:cs="Arial" w:eastAsia="Arial" w:hAnsi="Arial"/>
          <w:sz w:val="22"/>
          <w:szCs w:val="22"/>
        </w:rPr>
        <w:t xml:space="preserve">PdfViewer.tsx (root level) — Earlier version of PdfViewer without scroll-aware zoom</w:t>
      </w:r>
    </w:p>
    <w:p>
      <w:pPr>
        <w:pStyle w:val="ListParagraph"/>
        <w:numPr>
          <w:ilvl w:val="0"/>
          <w:numId w:val="2"/>
        </w:numPr>
        <w:spacing w:after="60" w:before="60"/>
      </w:pPr>
      <w:r>
        <w:rPr>
          <w:rFonts w:ascii="Arial" w:cs="Arial" w:eastAsia="Arial" w:hAnsi="Arial"/>
          <w:sz w:val="22"/>
          <w:szCs w:val="22"/>
        </w:rPr>
        <w:t xml:space="preserve">node_modules/ (root level) — Should not be committed; use npm install</w:t>
      </w:r>
    </w:p>
    <w:p>
      <w:pPr>
        <w:pStyle w:val="ListParagraph"/>
        <w:numPr>
          <w:ilvl w:val="0"/>
          <w:numId w:val="2"/>
        </w:numPr>
        <w:spacing w:after="60" w:before="60"/>
      </w:pPr>
      <w:r>
        <w:rPr>
          <w:rFonts w:ascii="Arial" w:cs="Arial" w:eastAsia="Arial" w:hAnsi="Arial"/>
          <w:sz w:val="22"/>
          <w:szCs w:val="22"/>
        </w:rPr>
        <w:t xml:space="preserve">Test images at root — Development test artefacts with no runtime role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2026-04-20T10:25:45.422Z</dcterms:created>
  <dcterms:modified xsi:type="dcterms:W3CDTF">2026-04-20T10:25:45.423Z</dcterms:modified>
</cp:coreProperties>
</file>

<file path=docProps/custom.xml><?xml version="1.0" encoding="utf-8"?>
<Properties xmlns="http://schemas.openxmlformats.org/officeDocument/2006/custom-properties" xmlns:vt="http://schemas.openxmlformats.org/officeDocument/2006/docPropsVTypes"/>
</file>