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Application Architecture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docs/APPLICATION_ARCHITECTURE.md</w:t>
        </w:r>
      </w:hyperlink>
    </w:p>
    <w:p>
      <w:r>
        <w:rPr>
          <w:b/>
          <w:i w:val="0"/>
        </w:rPr>
        <w:t>As implemented · 19 October 2026.</w:t>
      </w:r>
      <w:r>
        <w:rPr>
          <w:b w:val="0"/>
          <w:i w:val="0"/>
        </w:rPr>
        <w:t xml:space="preserve"> Architecture conclusions are based on source, not folder names alone.</w:t>
      </w:r>
    </w:p>
    <w:p>
      <w:pPr>
        <w:pStyle w:val="Heading1"/>
      </w:pPr>
      <w:r>
        <w:t>1 Assessment</w:t>
      </w:r>
    </w:p>
    <w:p>
      <w:r>
        <w:rPr>
          <w:b w:val="0"/>
          <w:i w:val="0"/>
        </w:rPr>
        <w:t xml:space="preserve">The app uses a </w:t>
      </w:r>
      <w:r>
        <w:rPr>
          <w:b/>
          <w:i w:val="0"/>
        </w:rPr>
        <w:t>partial MVVM/repository architecture</w:t>
      </w:r>
      <w:r>
        <w:rPr>
          <w:b w:val="0"/>
          <w:i w:val="0"/>
        </w:rPr>
        <w:t>. The note repository has a domain contract and Riverpod supplies dependencies. Tasks, schedules, and reminders use concrete Drift repositories. Large screens still perform persistence, export, attachment, and navigation orchestration directly. This is a workable prototype structure, but the boundaries are inconsistent and make privacy and backup behavior difficult to enforce centrally.</w:t>
      </w:r>
    </w:p>
    <w:p>
      <w:pPr>
        <w:pStyle w:val="Heading1"/>
      </w:pPr>
      <w:r>
        <w:t>2 Architecture diagram</w:t>
      </w:r>
    </w:p>
    <w:p>
      <w:hyperlink r:id="rId12">
        <w:r>
          <w:rPr>
            <w:color w:val="185A83"/>
          </w:rPr>
          <w:t xml:space="preserve">Open the editable tldraw architecture and workflow board</w:t>
        </w:r>
      </w:hyperlink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53792" cy="6675120"/>
            <wp:docPr id="1" name="Picture 1" descr="Current architecture and workflow, created and inspected in tldra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ldraw-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379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upper diagram shows dependencies; the lower diagram shows user flow. The dashed note-ID relationship represents an application-level reference, not a database foreign key.</w:t>
      </w:r>
    </w:p>
    <w:p>
      <w:pPr>
        <w:pStyle w:val="Code"/>
      </w:pPr>
      <w:r>
        <w:t>flowchart TD</w:t>
      </w:r>
    </w:p>
    <w:p>
      <w:pPr>
        <w:pStyle w:val="Code"/>
      </w:pPr>
      <w:r>
        <w:t xml:space="preserve">  Boot[main: initialize preferences] --&gt; App[ProviderScope and MaterialApp]</w:t>
      </w:r>
    </w:p>
    <w:p>
      <w:pPr>
        <w:pStyle w:val="Code"/>
      </w:pPr>
      <w:r>
        <w:t xml:space="preserve">  App --&gt; Screens[Home, editor, preview, tasks, schedule, settings]</w:t>
      </w:r>
    </w:p>
    <w:p>
      <w:pPr>
        <w:pStyle w:val="Code"/>
      </w:pPr>
      <w:r>
        <w:t xml:space="preserve">  Screens --&gt; VM[Riverpod and view models]</w:t>
      </w:r>
    </w:p>
    <w:p>
      <w:pPr>
        <w:pStyle w:val="Code"/>
      </w:pPr>
      <w:r>
        <w:t xml:space="preserve">  Screens --&gt; Services[Lock, backup, notifications, media handling]</w:t>
      </w:r>
    </w:p>
    <w:p>
      <w:pPr>
        <w:pStyle w:val="Code"/>
      </w:pPr>
      <w:r>
        <w:t xml:space="preserve">  VM --&gt; Notes[Domain NoteRepository]</w:t>
      </w:r>
    </w:p>
    <w:p>
      <w:pPr>
        <w:pStyle w:val="Code"/>
      </w:pPr>
      <w:r>
        <w:t xml:space="preserve">  Notes --&gt; SQL[Sqflite: notes and attachment rows]</w:t>
      </w:r>
    </w:p>
    <w:p>
      <w:pPr>
        <w:pStyle w:val="Code"/>
      </w:pPr>
      <w:r>
        <w:t xml:space="preserve">  VM --&gt; Productivity[Task, schedule, reminder repositories]</w:t>
      </w:r>
    </w:p>
    <w:p>
      <w:pPr>
        <w:pStyle w:val="Code"/>
      </w:pPr>
      <w:r>
        <w:t xml:space="preserve">  Productivity --&gt; Drift[Drift: productivity tables]</w:t>
      </w:r>
    </w:p>
    <w:p>
      <w:pPr>
        <w:pStyle w:val="Code"/>
      </w:pPr>
      <w:r>
        <w:t xml:space="preserve">  Services --&gt; Prefs[SharedPreferences]</w:t>
      </w:r>
    </w:p>
    <w:p>
      <w:pPr>
        <w:pStyle w:val="Code"/>
      </w:pPr>
      <w:r>
        <w:t xml:space="preserve">  Services --&gt; Files[Local files and temporary ZIPs]</w:t>
      </w:r>
    </w:p>
    <w:p>
      <w:pPr>
        <w:pStyle w:val="Code"/>
      </w:pPr>
      <w:r>
        <w:t xml:space="preserve">  Services --&gt; Android[Android platform plugins]</w:t>
      </w:r>
    </w:p>
    <w:p>
      <w:pPr>
        <w:pStyle w:val="Heading1"/>
      </w:pPr>
      <w:r>
        <w:t>3 Layer responsibilities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7"/>
        <w:gridCol w:w="3028"/>
        <w:gridCol w:w="1687"/>
        <w:gridCol w:w="3389"/>
      </w:tblGrid>
      <w:tr>
        <w:trPr>
          <w:cantSplit/>
          <w:tblHeader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Actual responsibility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Assessment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Bootstrap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Load SharedPreferences and override DI provider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4">
              <w:r>
                <w:rPr>
                  <w:color w:val="185A83"/>
                </w:rPr>
                <w:t xml:space="preserve">main.dart</w:t>
              </w:r>
            </w:hyperlink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Explicit initialization is sound; tests must reproduce it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App shell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Themes, delegates, root navigator, notification host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hyperlink r:id="rId15">
              <w:r>
                <w:rPr>
                  <w:color w:val="185A83"/>
                </w:rPr>
                <w:t xml:space="preserve">app.dart</w:t>
              </w:r>
            </w:hyperlink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Notification initialization is triggered from build and host lifecycle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Views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UI plus considerable business and file logic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6">
              <w:r>
                <w:rPr>
                  <w:color w:val="185A83"/>
                </w:rPr>
                <w:t xml:space="preserve">home_screen.dart</w:t>
              </w:r>
            </w:hyperlink>
            <w:r>
              <w:rPr>
                <w:b w:val="0"/>
                <w:i w:val="0"/>
                <w:sz w:val="18"/>
              </w:rPr>
              <w:t xml:space="preserve">, </w:t>
            </w:r>
            <w:hyperlink r:id="rId17">
              <w:r>
                <w:rPr>
                  <w:color w:val="185A83"/>
                </w:rPr>
                <w:t xml:space="preserve">note_editor_screen.dart</w:t>
              </w:r>
            </w:hyperlink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Too many responsibilities concentrated in large files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View models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Loading, filters, persistence calls, reminder operations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8">
              <w:r>
                <w:rPr>
                  <w:color w:val="185A83"/>
                </w:rPr>
                <w:t xml:space="preserve">view_models/</w:t>
              </w:r>
            </w:hyperlink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Mixed state APIs; error handling inconsistent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Domain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Immutable note/attachment entities; note repository interface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hyperlink r:id="rId19">
              <w:r>
                <w:rPr>
                  <w:color w:val="185A83"/>
                </w:rPr>
                <w:t xml:space="preserve">domain/</w:t>
              </w:r>
            </w:hyperlink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Limited to notes; productivity domain exposes generated Drift types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Repositories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SQL mapping and persistence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20">
              <w:r>
                <w:rPr>
                  <w:color w:val="185A83"/>
                </w:rPr>
                <w:t xml:space="preserve">data/repositories/</w:t>
              </w:r>
            </w:hyperlink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 change stream helps refresh; no unified transactional workflow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Platform services</w:t>
            </w:r>
          </w:p>
        </w:tc>
        <w:tc>
          <w:tcPr>
            <w:tcW w:type="dxa" w:w="30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Authentication, PIN, ZIPs, local notifications</w:t>
            </w:r>
          </w:p>
        </w:tc>
        <w:tc>
          <w:tcPr>
            <w:tcW w:type="dxa" w:w="168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21">
              <w:r>
                <w:rPr>
                  <w:color w:val="185A83"/>
                </w:rPr>
                <w:t xml:space="preserve">core/services/</w:t>
              </w:r>
            </w:hyperlink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Cross-cutting policies are not consistently enforced</w:t>
            </w:r>
          </w:p>
        </w:tc>
      </w:tr>
    </w:tbl>
    <w:p>
      <w:pPr>
        <w:spacing w:after="20"/>
      </w:pPr>
    </w:p>
    <w:p>
      <w:pPr>
        <w:pStyle w:val="Heading1"/>
      </w:pPr>
      <w:r>
        <w:t>4 Startup and state</w:t>
      </w:r>
    </w:p>
    <w:p>
      <w:pPr>
        <w:pStyle w:val="ListNumber"/>
        <w:numPr>
          <w:ilvl w:val="0"/>
          <w:numId w:val="10"/>
        </w:numPr>
        <w:ind w:left="317"/>
      </w:pPr>
      <w:r>
        <w:rPr>
          <w:rFonts w:ascii="Consolas" w:hAnsi="Consolas"/>
          <w:b w:val="0"/>
          <w:i w:val="0"/>
          <w:sz w:val="18"/>
        </w:rPr>
        <w:t>main()</w:t>
      </w:r>
      <w:r>
        <w:rPr>
          <w:b w:val="0"/>
          <w:i w:val="0"/>
        </w:rPr>
        <w:t xml:space="preserve"> initializes Flutter and preferences.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rFonts w:ascii="Consolas" w:hAnsi="Consolas"/>
          <w:b w:val="0"/>
          <w:i w:val="0"/>
          <w:sz w:val="18"/>
        </w:rPr>
        <w:t>ProviderScope</w:t>
      </w:r>
      <w:r>
        <w:rPr>
          <w:b w:val="0"/>
          <w:i w:val="0"/>
        </w:rPr>
        <w:t xml:space="preserve"> overrides </w:t>
      </w:r>
      <w:r>
        <w:rPr>
          <w:rFonts w:ascii="Consolas" w:hAnsi="Consolas"/>
          <w:b w:val="0"/>
          <w:i w:val="0"/>
          <w:sz w:val="18"/>
        </w:rPr>
        <w:t>sharedPreferencesProvider</w:t>
      </w:r>
      <w:r>
        <w:rPr>
          <w:b w:val="0"/>
          <w:i w:val="0"/>
        </w:rPr>
        <w:t>; its default deliberately throws.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rFonts w:ascii="Consolas" w:hAnsi="Consolas"/>
          <w:b w:val="0"/>
          <w:i w:val="0"/>
          <w:sz w:val="18"/>
        </w:rPr>
        <w:t>App</w:t>
      </w:r>
      <w:r>
        <w:rPr>
          <w:b w:val="0"/>
          <w:i w:val="0"/>
        </w:rPr>
        <w:t xml:space="preserve"> watches settings and creates light/dark themes through </w:t>
      </w:r>
      <w:r>
        <w:rPr>
          <w:rFonts w:ascii="Consolas" w:hAnsi="Consolas"/>
          <w:b w:val="0"/>
          <w:i w:val="0"/>
          <w:sz w:val="18"/>
        </w:rPr>
        <w:t>DynamicColorBuilder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rFonts w:ascii="Consolas" w:hAnsi="Consolas"/>
          <w:b w:val="0"/>
          <w:i w:val="0"/>
          <w:sz w:val="18"/>
        </w:rPr>
        <w:t>MaterialApp</w:t>
      </w:r>
      <w:r>
        <w:rPr>
          <w:b w:val="0"/>
          <w:i w:val="0"/>
        </w:rPr>
        <w:t xml:space="preserve"> starts </w:t>
      </w:r>
      <w:r>
        <w:rPr>
          <w:rFonts w:ascii="Consolas" w:hAnsi="Consolas"/>
          <w:b w:val="0"/>
          <w:i w:val="0"/>
          <w:sz w:val="18"/>
        </w:rPr>
        <w:t>HomeScreen</w:t>
      </w:r>
      <w:r>
        <w:rPr>
          <w:b w:val="0"/>
          <w:i w:val="0"/>
        </w:rPr>
        <w:t xml:space="preserve">, wrapped by </w:t>
      </w:r>
      <w:r>
        <w:rPr>
          <w:rFonts w:ascii="Consolas" w:hAnsi="Consolas"/>
          <w:b w:val="0"/>
          <w:i w:val="0"/>
          <w:sz w:val="18"/>
        </w:rPr>
        <w:t>InAppReminderHost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Home initializes notes; tasks and schedule load as their providers/screens are used.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Foreground reminders use a periodic timer; lifecycle changes cancel or recreate system notifications.</w:t>
      </w:r>
    </w:p>
    <w:p>
      <w:r>
        <w:rPr>
          <w:b/>
          <w:i w:val="0"/>
        </w:rPr>
        <w:t>Risk: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NotificationSyncService.init()</w:t>
      </w:r>
      <w:r>
        <w:rPr>
          <w:b w:val="0"/>
          <w:i w:val="0"/>
        </w:rPr>
        <w:t xml:space="preserve"> sets </w:t>
      </w:r>
      <w:r>
        <w:rPr>
          <w:rFonts w:ascii="Consolas" w:hAnsi="Consolas"/>
          <w:b w:val="0"/>
          <w:i w:val="0"/>
          <w:sz w:val="18"/>
        </w:rPr>
        <w:t>_initialized = true</w:t>
      </w:r>
      <w:r>
        <w:rPr>
          <w:b w:val="0"/>
          <w:i w:val="0"/>
        </w:rPr>
        <w:t xml:space="preserve"> before asynchronous initialization finishes. Concurrent callers can observe a partly initialized service, and a failed initialization is not retried. Prefer one awaited initialization future with explicit failure recovery.</w:t>
      </w:r>
    </w:p>
    <w:p>
      <w:pPr>
        <w:pStyle w:val="Heading1"/>
      </w:pPr>
      <w:r>
        <w:t>5 Persistence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5"/>
        <w:gridCol w:w="2168"/>
        <w:gridCol w:w="2835"/>
        <w:gridCol w:w="3014"/>
      </w:tblGrid>
      <w:tr>
        <w:trPr>
          <w:cantSplit/>
          <w:tblHeader/>
        </w:trPr>
        <w:tc>
          <w:tcPr>
            <w:tcW w:type="dxa" w:w="17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Store</w:t>
            </w:r>
          </w:p>
        </w:tc>
        <w:tc>
          <w:tcPr>
            <w:tcW w:type="dxa" w:w="21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Filename / location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Contents</w:t>
            </w:r>
          </w:p>
        </w:tc>
        <w:tc>
          <w:tcPr>
            <w:tcW w:type="dxa" w:w="30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Main concern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Sqflite</w:t>
            </w:r>
          </w:p>
        </w:tc>
        <w:tc>
          <w:tcPr>
            <w:tcW w:type="dxa" w:w="21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Documents / </w:t>
            </w:r>
            <w:r>
              <w:rPr>
                <w:rFonts w:ascii="Consolas" w:hAnsi="Consolas"/>
                <w:b w:val="0"/>
                <w:i w:val="0"/>
                <w:sz w:val="18"/>
              </w:rPr>
              <w:t>second_brain.db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Notes, attachment metadata</w:t>
            </w:r>
          </w:p>
        </w:tc>
        <w:tc>
          <w:tcPr>
            <w:tcW w:type="dxa" w:w="30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Version 1 with no upgrade path yet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Drift</w:t>
            </w:r>
          </w:p>
        </w:tc>
        <w:tc>
          <w:tcPr>
            <w:tcW w:type="dxa" w:w="21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Documents / </w:t>
            </w:r>
            <w:r>
              <w:rPr>
                <w:rFonts w:ascii="Consolas" w:hAnsi="Consolas"/>
                <w:b w:val="0"/>
                <w:i w:val="0"/>
                <w:sz w:val="18"/>
              </w:rPr>
              <w:t>second_brain_drift.db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Tasks, schedules, reminders, subtasks, labels, links</w:t>
            </w:r>
          </w:p>
        </w:tc>
        <w:tc>
          <w:tcPr>
            <w:tcW w:type="dxa" w:w="30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Schema version 3; upgrade coverage needs verification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Preferences</w:t>
            </w:r>
          </w:p>
        </w:tc>
        <w:tc>
          <w:tcPr>
            <w:tcW w:type="dxa" w:w="21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Platform preferences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Theme, locale, font, lock settings, PIN, sort/filter state</w:t>
            </w:r>
          </w:p>
        </w:tc>
        <w:tc>
          <w:tcPr>
            <w:tcW w:type="dxa" w:w="30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PIN stored as an ordinary string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Media files</w:t>
            </w:r>
          </w:p>
        </w:tc>
        <w:tc>
          <w:tcPr>
            <w:tcW w:type="dxa" w:w="21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Picker/camera/recording paths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Actual attachment bytes</w:t>
            </w:r>
          </w:p>
        </w:tc>
        <w:tc>
          <w:tcPr>
            <w:tcW w:type="dxa" w:w="30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Some paths may be temporary; deletion leaves file lifecycle unclear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ZIP files</w:t>
            </w:r>
          </w:p>
        </w:tc>
        <w:tc>
          <w:tcPr>
            <w:tcW w:type="dxa" w:w="21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Temporary directory</w:t>
            </w:r>
          </w:p>
        </w:tc>
        <w:tc>
          <w:tcPr>
            <w:tcW w:type="dxa" w:w="283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 JSON for backup; PDF/media for separate share flow</w:t>
            </w:r>
          </w:p>
        </w:tc>
        <w:tc>
          <w:tcPr>
            <w:tcW w:type="dxa" w:w="301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Different ZIP formats have different semantics</w:t>
            </w:r>
          </w:p>
        </w:tc>
      </w:tr>
    </w:tbl>
    <w:p>
      <w:pPr>
        <w:spacing w:after="20"/>
      </w:pPr>
    </w:p>
    <w:p>
      <w:pPr>
        <w:pStyle w:val="Heading2"/>
      </w:pPr>
      <w:r>
        <w:t>Relationships</w:t>
      </w:r>
    </w:p>
    <w:p>
      <w:pPr>
        <w:pStyle w:val="Code"/>
      </w:pPr>
      <w:r>
        <w:t>flowchart TD</w:t>
      </w:r>
    </w:p>
    <w:p>
      <w:pPr>
        <w:pStyle w:val="Code"/>
      </w:pPr>
      <w:r>
        <w:t xml:space="preserve">  Notes[Sqflite notes] --&gt; Attachments[Sqflite attachments: note_id]</w:t>
      </w:r>
    </w:p>
    <w:p>
      <w:pPr>
        <w:pStyle w:val="Code"/>
      </w:pPr>
      <w:r>
        <w:t xml:space="preserve">  Tasks[Drift tasks] --&gt; Subtasks[task_subtasks]</w:t>
      </w:r>
    </w:p>
    <w:p>
      <w:pPr>
        <w:pStyle w:val="Code"/>
      </w:pPr>
      <w:r>
        <w:t xml:space="preserve">  Tasks --&gt; Links[task_label_links]</w:t>
      </w:r>
    </w:p>
    <w:p>
      <w:pPr>
        <w:pStyle w:val="Code"/>
      </w:pPr>
      <w:r>
        <w:t xml:space="preserve">  Labels[task_labels] --&gt; Links</w:t>
      </w:r>
    </w:p>
    <w:p>
      <w:pPr>
        <w:pStyle w:val="Code"/>
      </w:pPr>
      <w:r>
        <w:t xml:space="preserve">  Tasks -. noteId .-&gt; Notes</w:t>
      </w:r>
    </w:p>
    <w:p>
      <w:pPr>
        <w:pStyle w:val="Code"/>
      </w:pPr>
      <w:r>
        <w:t xml:space="preserve">  Schedules[Drift schedules] -. noteId .-&gt; Notes</w:t>
      </w:r>
    </w:p>
    <w:p>
      <w:pPr>
        <w:pStyle w:val="Code"/>
      </w:pPr>
      <w:r>
        <w:t xml:space="preserve">  Reminders[Drift reminders: ownerType and ownerId] -. owner reference .-&gt; Tasks</w:t>
      </w:r>
    </w:p>
    <w:p>
      <w:pPr>
        <w:pStyle w:val="Code"/>
      </w:pPr>
      <w:r>
        <w:t xml:space="preserve">  Reminders -. owner reference .-&gt; Schedules</w:t>
      </w:r>
    </w:p>
    <w:p>
      <w:pPr>
        <w:pStyle w:val="Code"/>
      </w:pPr>
      <w:r>
        <w:t xml:space="preserve">  Reminders -. owner reference .-&gt; Notes</w:t>
      </w:r>
    </w:p>
    <w:p>
      <w:r>
        <w:rPr>
          <w:b w:val="0"/>
          <w:i w:val="0"/>
        </w:rPr>
        <w:t>Neither database enables SQLite foreign-key enforcement explicitly. Even enabled foreign keys could not enforce cross-file note references. Deleting a note does not coordinate linked tasks, schedules, and reminder ownership.</w:t>
      </w:r>
    </w:p>
    <w:p>
      <w:pPr>
        <w:pStyle w:val="Heading2"/>
      </w:pPr>
      <w:r>
        <w:t>Migration review</w:t>
      </w:r>
    </w:p>
    <w:p>
      <w:r>
        <w:rPr>
          <w:rFonts w:ascii="Consolas" w:hAnsi="Consolas"/>
          <w:b w:val="0"/>
          <w:i w:val="0"/>
          <w:sz w:val="18"/>
        </w:rPr>
        <w:t>AppDriftDatabase</w:t>
      </w:r>
      <w:r>
        <w:rPr>
          <w:b w:val="0"/>
          <w:i w:val="0"/>
        </w:rPr>
        <w:t xml:space="preserve"> creates all tables for fresh installs. Upgrades add task ordering for version 1 and </w:t>
      </w:r>
      <w:r>
        <w:rPr>
          <w:rFonts w:ascii="Consolas" w:hAnsi="Consolas"/>
          <w:b w:val="0"/>
          <w:i w:val="0"/>
          <w:sz w:val="18"/>
        </w:rPr>
        <w:t>schedules.note_id</w:t>
      </w:r>
      <w:r>
        <w:rPr>
          <w:b w:val="0"/>
          <w:i w:val="0"/>
        </w:rPr>
        <w:t xml:space="preserve"> for versions below 3. Existing version 1/2 databases need explicit fixture tests proving that subtasks, labels, and link tables exist after upgrade. Fresh-install success would not prove upgrade safety.</w:t>
      </w:r>
    </w:p>
    <w:p>
      <w:pPr>
        <w:pStyle w:val="Heading1"/>
      </w:pPr>
      <w:r>
        <w:t>6 Navigation</w:t>
      </w:r>
    </w:p>
    <w:p>
      <w:r>
        <w:rPr>
          <w:b w:val="0"/>
          <w:i w:val="0"/>
        </w:rPr>
        <w:t xml:space="preserve">The live app uses </w:t>
      </w:r>
      <w:r>
        <w:rPr>
          <w:rFonts w:ascii="Consolas" w:hAnsi="Consolas"/>
          <w:b w:val="0"/>
          <w:i w:val="0"/>
          <w:sz w:val="18"/>
        </w:rPr>
        <w:t>MaterialApp(home: HomeScreen())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Navigator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MaterialPageRoute</w:t>
      </w:r>
      <w:r>
        <w:rPr>
          <w:b w:val="0"/>
          <w:i w:val="0"/>
        </w:rPr>
        <w:t xml:space="preserve">, tabs, and sheets. </w:t>
      </w:r>
      <w:hyperlink r:id="rId22">
        <w:r>
          <w:rPr>
            <w:color w:val="185A83"/>
          </w:rPr>
          <w:t xml:space="preserve">router.dart</w:t>
        </w:r>
      </w:hyperlink>
      <w:r>
        <w:rPr>
          <w:b w:val="0"/>
          <w:i w:val="0"/>
        </w:rPr>
        <w:t xml:space="preserve"> defines a GoRouter which is not connected through </w:t>
      </w:r>
      <w:r>
        <w:rPr>
          <w:rFonts w:ascii="Consolas" w:hAnsi="Consolas"/>
          <w:b w:val="0"/>
          <w:i w:val="0"/>
          <w:sz w:val="18"/>
        </w:rPr>
        <w:t>MaterialApp.router</w:t>
      </w:r>
      <w:r>
        <w:rPr>
          <w:b w:val="0"/>
          <w:i w:val="0"/>
        </w:rPr>
        <w:t>. Two standalone drawer implementations coexist with a third private drawer inside Home. Some menu destinations show placeholder messages.</w:t>
      </w:r>
    </w:p>
    <w:p>
      <w:r>
        <w:rPr>
          <w:b w:val="0"/>
          <w:i w:val="0"/>
        </w:rPr>
        <w:t xml:space="preserve">Recommendation: choose one active navigation system and remove or quarantine inactive variants after testing actual entry paths. A filename named </w:t>
      </w:r>
      <w:r>
        <w:rPr>
          <w:rFonts w:ascii="Consolas" w:hAnsi="Consolas"/>
          <w:b w:val="0"/>
          <w:i w:val="0"/>
          <w:sz w:val="18"/>
        </w:rPr>
        <w:t>router.dart</w:t>
      </w:r>
      <w:r>
        <w:rPr>
          <w:b w:val="0"/>
          <w:i w:val="0"/>
        </w:rPr>
        <w:t xml:space="preserve"> does not establish deep-link support.</w:t>
      </w:r>
    </w:p>
    <w:p>
      <w:pPr>
        <w:pStyle w:val="Heading1"/>
      </w:pPr>
      <w:r>
        <w:t>7 Security boundary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3389"/>
        <w:gridCol w:w="4343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Boundary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Current implementation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Required improvement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Locked preview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NotePreviewScreen</w:t>
            </w:r>
            <w:r>
              <w:rPr>
                <w:b w:val="0"/>
                <w:i w:val="0"/>
                <w:sz w:val="18"/>
              </w:rPr>
              <w:t xml:space="preserve"> authenticates unless </w:t>
            </w:r>
            <w:r>
              <w:rPr>
                <w:rFonts w:ascii="Consolas" w:hAnsi="Consolas"/>
                <w:b w:val="0"/>
                <w:i w:val="0"/>
                <w:sz w:val="18"/>
              </w:rPr>
              <w:t>skipLockCheck</w:t>
            </w:r>
            <w:r>
              <w:rPr>
                <w:b w:val="0"/>
                <w:i w:val="0"/>
                <w:sz w:val="18"/>
              </w:rPr>
              <w:t xml:space="preserve"> is true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Authentication policy shared by every entry path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Attachment browser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Enumerates all attachments; passes </w:t>
            </w:r>
            <w:r>
              <w:rPr>
                <w:rFonts w:ascii="Consolas" w:hAnsi="Consolas"/>
                <w:b w:val="0"/>
                <w:i w:val="0"/>
                <w:sz w:val="18"/>
              </w:rPr>
              <w:t>skipLockCheck: note.isLocked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Filter private assets and require authorization before preview/open/export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Reminder navigation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Some note routes pass </w:t>
            </w:r>
            <w:r>
              <w:rPr>
                <w:rFonts w:ascii="Consolas" w:hAnsi="Consolas"/>
                <w:b w:val="0"/>
                <w:i w:val="0"/>
                <w:sz w:val="18"/>
              </w:rPr>
              <w:t>skipLockCheck: true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Authenticate locked content on notification entry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PIN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Plain preferences string comparison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Secure verifier storage, numeric length validation, retry throttling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App lock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Biometric gate in Home lifecycle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Cover pushed screens, unavailable biometrics, and background snapshots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Vault session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In-memory unlocked boolean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Relock on lifecycle timeout; </w:t>
            </w:r>
            <w:r>
              <w:rPr>
                <w:rFonts w:ascii="Consolas" w:hAnsi="Consolas"/>
                <w:b w:val="0"/>
                <w:i w:val="0"/>
                <w:sz w:val="18"/>
              </w:rPr>
              <w:t>relock()</w:t>
            </w:r>
            <w:r>
              <w:rPr>
                <w:b w:val="0"/>
                <w:i w:val="0"/>
                <w:sz w:val="18"/>
              </w:rPr>
              <w:t xml:space="preserve"> currently has no caller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338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Ordinary SQLite and local files</w:t>
            </w:r>
          </w:p>
        </w:tc>
        <w:tc>
          <w:tcPr>
            <w:tcW w:type="dxa" w:w="43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 not claim encrypted storage; define the intended threat model</w:t>
            </w:r>
          </w:p>
        </w:tc>
      </w:tr>
    </w:tbl>
    <w:p>
      <w:pPr>
        <w:spacing w:after="20"/>
      </w:pPr>
    </w:p>
    <w:p>
      <w:pPr>
        <w:pStyle w:val="Heading1"/>
      </w:pPr>
      <w:r>
        <w:t>8 Maintainability and performance</w:t>
      </w:r>
    </w:p>
    <w:p>
      <w:pPr>
        <w:pStyle w:val="ListBullet"/>
        <w:ind w:left="317"/>
      </w:pPr>
      <w:r>
        <w:rPr>
          <w:b w:val="0"/>
          <w:i w:val="0"/>
        </w:rPr>
        <w:t>Home is roughly 3,000 lines; schedule roughly 2,100; note editor roughly 1,900. These combine state, rendering, persistence, gestures, and export concerns.</w:t>
      </w:r>
    </w:p>
    <w:p>
      <w:pPr>
        <w:pStyle w:val="ListBullet"/>
        <w:ind w:left="317"/>
      </w:pPr>
      <w:r>
        <w:rPr>
          <w:b w:val="0"/>
          <w:i w:val="0"/>
        </w:rPr>
        <w:t>The note repository batches attachment queries in chunks of 500, a useful safeguard against SQLite bind limits.</w:t>
      </w:r>
    </w:p>
    <w:p>
      <w:pPr>
        <w:pStyle w:val="ListBullet"/>
        <w:ind w:left="317"/>
      </w:pPr>
      <w:r>
        <w:rPr>
          <w:b w:val="0"/>
          <w:i w:val="0"/>
        </w:rPr>
        <w:t>Tasks load subtasks once per task sequentially; search fetches all tasks and filters in memory.</w:t>
      </w:r>
    </w:p>
    <w:p>
      <w:pPr>
        <w:pStyle w:val="ListBullet"/>
        <w:ind w:left="317"/>
      </w:pPr>
      <w:r>
        <w:rPr>
          <w:b w:val="0"/>
          <w:i w:val="0"/>
        </w:rPr>
        <w:t>Notes load the full collection. Paging and indexed search should follow measurement with realistic datasets.</w:t>
      </w:r>
    </w:p>
    <w:p>
      <w:pPr>
        <w:pStyle w:val="ListBullet"/>
        <w:ind w:left="317"/>
      </w:pPr>
      <w:r>
        <w:rPr>
          <w:b w:val="0"/>
          <w:i w:val="0"/>
        </w:rPr>
        <w:t>Some export paths read files synchronously on the UI isolate; large attachments could block frames.</w:t>
      </w:r>
    </w:p>
    <w:p>
      <w:pPr>
        <w:pStyle w:val="ListBullet"/>
        <w:ind w:left="317"/>
      </w:pPr>
      <w:r>
        <w:rPr>
          <w:b w:val="0"/>
          <w:i w:val="0"/>
        </w:rPr>
        <w:t>Drift provider does not register disposal; note change streams and notification service also need an explicit lifecycle policy.</w:t>
      </w:r>
    </w:p>
    <w:p>
      <w:pPr>
        <w:pStyle w:val="ListBullet"/>
        <w:ind w:left="317"/>
      </w:pPr>
      <w:r>
        <w:rPr>
          <w:b w:val="0"/>
          <w:i w:val="0"/>
        </w:rPr>
        <w:t>Ten zero-byte Dart placeholders create a misleading impression of implemented modules.</w:t>
      </w:r>
    </w:p>
    <w:p>
      <w:pPr>
        <w:pStyle w:val="Heading1"/>
      </w:pPr>
      <w:r>
        <w:t>9 Practical evolution</w:t>
      </w:r>
    </w:p>
    <w:p>
      <w:pPr>
        <w:pStyle w:val="ListNumber"/>
        <w:numPr>
          <w:ilvl w:val="0"/>
          <w:numId w:val="11"/>
        </w:numPr>
        <w:ind w:left="317"/>
      </w:pPr>
      <w:r>
        <w:rPr>
          <w:b w:val="0"/>
          <w:i w:val="0"/>
        </w:rPr>
        <w:t>Centralize locked-content access before adding more navigation paths.</w:t>
      </w:r>
    </w:p>
    <w:p>
      <w:pPr>
        <w:pStyle w:val="ListNumber"/>
        <w:numPr>
          <w:ilvl w:val="0"/>
          <w:numId w:val="11"/>
        </w:numPr>
        <w:ind w:left="317"/>
      </w:pPr>
      <w:r>
        <w:rPr>
          <w:b w:val="0"/>
          <w:i w:val="0"/>
        </w:rPr>
        <w:t>Define a versioned full backup contract and transactional import with ID remapping.</w:t>
      </w:r>
    </w:p>
    <w:p>
      <w:pPr>
        <w:pStyle w:val="ListNumber"/>
        <w:numPr>
          <w:ilvl w:val="0"/>
          <w:numId w:val="11"/>
        </w:numPr>
        <w:ind w:left="317"/>
      </w:pPr>
      <w:r>
        <w:rPr>
          <w:b w:val="0"/>
          <w:i w:val="0"/>
        </w:rPr>
        <w:t>Add focused repository and migration tests around current behavior.</w:t>
      </w:r>
    </w:p>
    <w:p>
      <w:pPr>
        <w:pStyle w:val="ListNumber"/>
        <w:numPr>
          <w:ilvl w:val="0"/>
          <w:numId w:val="11"/>
        </w:numPr>
        <w:ind w:left="317"/>
      </w:pPr>
      <w:r>
        <w:rPr>
          <w:b w:val="0"/>
          <w:i w:val="0"/>
        </w:rPr>
        <w:t>Extract editor persistence, media ownership, and schedule logic from screens.</w:t>
      </w:r>
    </w:p>
    <w:p>
      <w:pPr>
        <w:pStyle w:val="ListNumber"/>
        <w:numPr>
          <w:ilvl w:val="0"/>
          <w:numId w:val="11"/>
        </w:numPr>
        <w:ind w:left="317"/>
      </w:pPr>
      <w:r>
        <w:rPr>
          <w:b w:val="0"/>
          <w:i w:val="0"/>
        </w:rPr>
        <w:t>Unify navigation and remove unused state/theme/drawer variants.</w:t>
      </w:r>
    </w:p>
    <w:p>
      <w:pPr>
        <w:pStyle w:val="ListNumber"/>
        <w:numPr>
          <w:ilvl w:val="0"/>
          <w:numId w:val="11"/>
        </w:numPr>
        <w:ind w:left="317"/>
      </w:pPr>
      <w:r>
        <w:rPr>
          <w:b w:val="0"/>
          <w:i w:val="0"/>
        </w:rPr>
        <w:t>Consider database consolidation only with a tested migration and recovery plan.</w:t>
      </w:r>
    </w:p>
    <w:p>
      <w:r>
        <w:rPr>
          <w:b w:val="0"/>
          <w:i w:val="0"/>
        </w:rPr>
        <w:t xml:space="preserve">See </w:t>
      </w:r>
      <w:hyperlink r:id="rId23">
        <w:r>
          <w:rPr>
            <w:color w:val="185A83"/>
          </w:rPr>
          <w:t xml:space="preserve">code review</w:t>
        </w:r>
      </w:hyperlink>
      <w:r>
        <w:rPr>
          <w:b w:val="0"/>
          <w:i w:val="0"/>
        </w:rPr>
        <w:t xml:space="preserve"> for file coverage and </w:t>
      </w:r>
      <w:hyperlink r:id="rId24">
        <w:r>
          <w:rPr>
            <w:color w:val="185A83"/>
          </w:rPr>
          <w:t xml:space="preserve">feedback</w:t>
        </w:r>
      </w:hyperlink>
      <w:r>
        <w:rPr>
          <w:b w:val="0"/>
          <w:i w:val="0"/>
        </w:rPr>
        <w:t xml:space="preserve"> for severity and acceptance criteria.</w:t>
      </w:r>
    </w:p>
    <w:p>
      <w:pPr>
        <w:sectPr>
          <w:headerReference w:type="default" r:id="rId9"/>
          <w:footerReference w:type="default" r:id="rId10"/>
          <w:pgSz w:w="11952" w:h="16848"/>
          <w:pgMar w:top="1008" w:right="1080" w:bottom="1008" w:left="1080" w:header="432" w:footer="432" w:gutter="0"/>
          <w:cols w:space="720"/>
          <w:docGrid w:linePitch="360"/>
        </w:sectPr>
      </w:pPr>
    </w:p>
    <w:p>
      <w:pPr>
        <w:pStyle w:val="Heading1"/>
      </w:pPr>
      <w:r>
        <w:t>Application architecture diagram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4789182"/>
            <wp:docPr id="2" name="Picture 2" descr="Application architecture diagram detail from the original tldraw 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ldraw-review.png"/>
                    <pic:cNvPicPr/>
                  </pic:nvPicPr>
                  <pic:blipFill>
                    <a:blip r:embed="rId13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8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85A83"/>
          </w:rPr>
          <w:t xml:space="preserve">Editable tldraw board</w:t>
        </w:r>
      </w:hyperlink>
    </w:p>
    <w:p>
      <w:r>
        <w:br w:type="page"/>
      </w:r>
    </w:p>
    <w:p>
      <w:pPr>
        <w:pStyle w:val="Heading1"/>
      </w:pPr>
      <w:r>
        <w:t>Application workflow diagram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4789182"/>
            <wp:docPr id="3" name="Picture 3" descr="Application workflow diagram detail from the original tldraw 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ldraw-review.png"/>
                    <pic:cNvPicPr/>
                  </pic:nvPicPr>
                  <pic:blipFill>
                    <a:blip r:embed="rId13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8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85A83"/>
          </w:rPr>
          <w:t xml:space="preserve">Editable tldraw board</w:t>
        </w:r>
      </w:hyperlink>
    </w:p>
    <w:sectPr w:rsidR="00FC693F" w:rsidRPr="0006063C" w:rsidSect="00034616">
      <w:pgSz w:w="16848" w:h="11952" w:orient="landscape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APPLICATION_ARCHITECTURE.md" TargetMode="External"/><Relationship Id="rId12" Type="http://schemas.openxmlformats.org/officeDocument/2006/relationships/hyperlink" Target="https://www.tldraw.com/f/MJ8ymcLzU-nKT2TWyaEVd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github.com/Xenaquas/Noteable/blob/main/lib/main.dart" TargetMode="External"/><Relationship Id="rId15" Type="http://schemas.openxmlformats.org/officeDocument/2006/relationships/hyperlink" Target="https://github.com/Xenaquas/Noteable/blob/main/lib/app/app.dart" TargetMode="External"/><Relationship Id="rId16" Type="http://schemas.openxmlformats.org/officeDocument/2006/relationships/hyperlink" Target="https://github.com/Xenaquas/Noteable/blob/main/lib/presentation/views/home/home_screen.dart" TargetMode="External"/><Relationship Id="rId17" Type="http://schemas.openxmlformats.org/officeDocument/2006/relationships/hyperlink" Target="https://github.com/Xenaquas/Noteable/blob/main/lib/presentation/views/note_editor/note_editor_screen.dart" TargetMode="External"/><Relationship Id="rId18" Type="http://schemas.openxmlformats.org/officeDocument/2006/relationships/hyperlink" Target="https://github.com/Xenaquas/Noteable/blob/main/lib/presentation/view_models" TargetMode="External"/><Relationship Id="rId19" Type="http://schemas.openxmlformats.org/officeDocument/2006/relationships/hyperlink" Target="https://github.com/Xenaquas/Noteable/blob/main/lib/domain" TargetMode="External"/><Relationship Id="rId20" Type="http://schemas.openxmlformats.org/officeDocument/2006/relationships/hyperlink" Target="https://github.com/Xenaquas/Noteable/blob/main/lib/data/repositories" TargetMode="External"/><Relationship Id="rId21" Type="http://schemas.openxmlformats.org/officeDocument/2006/relationships/hyperlink" Target="https://github.com/Xenaquas/Noteable/blob/main/lib/core/services" TargetMode="External"/><Relationship Id="rId22" Type="http://schemas.openxmlformats.org/officeDocument/2006/relationships/hyperlink" Target="https://github.com/Xenaquas/Noteable/blob/main/lib/app/router.dart" TargetMode="External"/><Relationship Id="rId23" Type="http://schemas.openxmlformats.org/officeDocument/2006/relationships/hyperlink" Target="https://github.com/Xenaquas/Noteable/blob/main/docs/DART_CODE_REVIEW.md" TargetMode="External"/><Relationship Id="rId24" Type="http://schemas.openxmlformats.org/officeDocument/2006/relationships/hyperlink" Target="https://github.com/Xenaquas/Noteable/blob/main/docs/APP_FEEDBAC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Application Architecture</dc:title>
  <dc:subject>Noteable application review collection</dc:subject>
  <dc:creator>Noteable project</dc:creator>
  <cp:keywords>docs/APPLICATION_ARCHITECTURE.md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